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66"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6"/>
              </w:rPr>
            </w:pPr>
            <w:r>
              <w:rPr>
                <w:rFonts w:hint="eastAsia" w:ascii="黑体" w:eastAsia="黑体"/>
                <w:sz w:val="26"/>
              </w:rPr>
              <w:t>学科名称</w:t>
            </w:r>
          </w:p>
        </w:tc>
        <w:tc>
          <w:tcPr>
            <w:tcW w:w="1722"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6"/>
              </w:rPr>
            </w:pPr>
          </w:p>
        </w:tc>
      </w:tr>
    </w:tbl>
    <w:p>
      <w:pPr>
        <w:rPr>
          <w:rFonts w:ascii="黑体" w:eastAsia="黑体"/>
          <w:sz w:val="26"/>
          <w:szCs w:val="20"/>
        </w:rPr>
      </w:pPr>
    </w:p>
    <w:p>
      <w:pPr>
        <w:rPr>
          <w:rFonts w:hint="eastAsia" w:ascii="黑体" w:eastAsia="黑体"/>
          <w:sz w:val="26"/>
        </w:rPr>
      </w:pPr>
    </w:p>
    <w:p>
      <w:pPr>
        <w:snapToGrid w:val="0"/>
        <w:jc w:val="center"/>
        <w:rPr>
          <w:rFonts w:eastAsia="方正小标宋简体"/>
          <w:sz w:val="46"/>
        </w:rPr>
      </w:pPr>
      <w:r>
        <w:rPr>
          <w:rFonts w:hint="eastAsia" w:eastAsia="方正小标宋简体"/>
          <w:sz w:val="46"/>
        </w:rPr>
        <w:t>河南省高等学校青年骨干教师考核报告</w:t>
      </w:r>
    </w:p>
    <w:p/>
    <w:p/>
    <w:p>
      <w:pPr>
        <w:snapToGrid w:val="0"/>
      </w:pPr>
    </w:p>
    <w:p>
      <w:pPr>
        <w:snapToGrid w:val="0"/>
        <w:ind w:firstLine="630"/>
      </w:pPr>
      <w:r>
        <w:rPr>
          <w:rFonts w:hint="eastAsia"/>
        </w:rPr>
        <w:t>项目名称：</w:t>
      </w:r>
      <w:r>
        <w:rPr>
          <w:rFonts w:hint="eastAsia"/>
          <w:u w:val="single"/>
        </w:rPr>
        <w:t>　</w:t>
      </w:r>
      <w:r>
        <w:rPr>
          <w:rFonts w:hint="eastAsia"/>
          <w:u w:val="single"/>
          <w:lang w:eastAsia="zh-CN"/>
        </w:rPr>
        <w:t>城镇化背景下的农民工家庭再生产研究</w:t>
      </w:r>
      <w:r>
        <w:rPr>
          <w:u w:val="single"/>
        </w:rPr>
        <w:t xml:space="preserve"> </w:t>
      </w:r>
      <w:r>
        <w:rPr>
          <w:rFonts w:hint="eastAsia"/>
          <w:u w:val="single"/>
        </w:rPr>
        <w:t>　</w:t>
      </w:r>
    </w:p>
    <w:p>
      <w:pPr>
        <w:snapToGrid w:val="0"/>
      </w:pPr>
    </w:p>
    <w:p>
      <w:pPr>
        <w:snapToGrid w:val="0"/>
      </w:pPr>
    </w:p>
    <w:p>
      <w:pPr>
        <w:snapToGrid w:val="0"/>
        <w:ind w:firstLine="630"/>
      </w:pPr>
      <w:r>
        <w:rPr>
          <w:rFonts w:hint="eastAsia"/>
        </w:rPr>
        <w:t>起止时间：　</w:t>
      </w:r>
      <w:r>
        <w:rPr>
          <w:rFonts w:hint="eastAsia"/>
          <w:u w:val="single"/>
        </w:rPr>
        <w:t>　</w:t>
      </w:r>
      <w:r>
        <w:rPr>
          <w:rFonts w:hint="eastAsia"/>
          <w:u w:val="single"/>
          <w:lang w:val="en-US" w:eastAsia="zh-CN"/>
        </w:rPr>
        <w:t>2017年11月</w:t>
      </w:r>
      <w:r>
        <w:rPr>
          <w:rFonts w:hint="eastAsia"/>
          <w:u w:val="single"/>
        </w:rPr>
        <w:t>　</w:t>
      </w:r>
      <w:r>
        <w:rPr>
          <w:rFonts w:hint="eastAsia"/>
        </w:rPr>
        <w:t>至</w:t>
      </w:r>
      <w:r>
        <w:rPr>
          <w:rFonts w:hint="eastAsia"/>
          <w:u w:val="single"/>
        </w:rPr>
        <w:t>　</w:t>
      </w:r>
      <w:r>
        <w:rPr>
          <w:rFonts w:hint="eastAsia"/>
          <w:u w:val="single"/>
          <w:lang w:val="en-US" w:eastAsia="zh-CN"/>
        </w:rPr>
        <w:t>2020年11月</w:t>
      </w:r>
      <w:r>
        <w:rPr>
          <w:rFonts w:hint="eastAsia"/>
          <w:u w:val="single"/>
        </w:rPr>
        <w:t>　</w:t>
      </w:r>
      <w:r>
        <w:rPr>
          <w:u w:val="single"/>
        </w:rPr>
        <w:t xml:space="preserve">  </w:t>
      </w:r>
      <w:r>
        <w:rPr>
          <w:rFonts w:hint="eastAsia"/>
          <w:u w:val="single"/>
        </w:rPr>
        <w:t>　</w:t>
      </w:r>
    </w:p>
    <w:p>
      <w:pPr>
        <w:snapToGrid w:val="0"/>
      </w:pPr>
    </w:p>
    <w:p>
      <w:pPr>
        <w:snapToGrid w:val="0"/>
      </w:pPr>
    </w:p>
    <w:p>
      <w:pPr>
        <w:snapToGrid w:val="0"/>
        <w:ind w:firstLine="630"/>
      </w:pPr>
      <w:r>
        <w:rPr>
          <w:rFonts w:hint="eastAsia"/>
        </w:rPr>
        <w:t>培养对象姓名：</w:t>
      </w:r>
      <w:r>
        <w:rPr>
          <w:rFonts w:hint="eastAsia"/>
          <w:u w:val="single"/>
        </w:rPr>
        <w:t>　</w:t>
      </w:r>
      <w:r>
        <w:rPr>
          <w:rFonts w:hint="eastAsia"/>
          <w:u w:val="single"/>
          <w:lang w:val="en-US" w:eastAsia="zh-CN"/>
        </w:rPr>
        <w:t xml:space="preserve">宋丽娜 </w:t>
      </w:r>
      <w:r>
        <w:rPr>
          <w:rFonts w:hint="eastAsia"/>
          <w:u w:val="single"/>
        </w:rPr>
        <w:t>　</w:t>
      </w:r>
      <w:r>
        <w:rPr>
          <w:rFonts w:hint="eastAsia"/>
        </w:rPr>
        <w:t>专业技术职务：</w:t>
      </w:r>
      <w:r>
        <w:rPr>
          <w:u w:val="single"/>
        </w:rPr>
        <w:t xml:space="preserve"> </w:t>
      </w:r>
      <w:r>
        <w:rPr>
          <w:rFonts w:hint="eastAsia"/>
          <w:u w:val="single"/>
          <w:lang w:val="en-US" w:eastAsia="zh-CN"/>
        </w:rPr>
        <w:t xml:space="preserve">副教授 </w:t>
      </w:r>
      <w:r>
        <w:rPr>
          <w:rFonts w:hint="eastAsia"/>
          <w:u w:val="single"/>
        </w:rPr>
        <w:t>　</w:t>
      </w:r>
    </w:p>
    <w:p>
      <w:pPr>
        <w:snapToGrid w:val="0"/>
      </w:pPr>
    </w:p>
    <w:p>
      <w:pPr>
        <w:snapToGrid w:val="0"/>
      </w:pPr>
    </w:p>
    <w:p>
      <w:pPr>
        <w:snapToGrid w:val="0"/>
        <w:ind w:firstLine="630"/>
      </w:pPr>
      <w:r>
        <w:rPr>
          <w:rFonts w:hint="eastAsia"/>
        </w:rPr>
        <w:t>学</w:t>
      </w:r>
      <w:r>
        <w:t xml:space="preserve">    </w:t>
      </w:r>
      <w:r>
        <w:rPr>
          <w:rFonts w:hint="eastAsia"/>
        </w:rPr>
        <w:t>校：</w:t>
      </w:r>
      <w:r>
        <w:rPr>
          <w:rFonts w:hint="eastAsia"/>
          <w:u w:val="single"/>
        </w:rPr>
        <w:t>　　</w:t>
      </w:r>
      <w:r>
        <w:rPr>
          <w:u w:val="single"/>
        </w:rPr>
        <w:t xml:space="preserve"> </w:t>
      </w:r>
      <w:r>
        <w:rPr>
          <w:rFonts w:hint="eastAsia"/>
          <w:u w:val="single"/>
        </w:rPr>
        <w:t>　　</w:t>
      </w:r>
      <w:r>
        <w:rPr>
          <w:rFonts w:hint="eastAsia"/>
          <w:u w:val="single"/>
          <w:lang w:val="en-US" w:eastAsia="zh-CN"/>
        </w:rPr>
        <w:t xml:space="preserve"> 河南农业大学</w:t>
      </w:r>
      <w:r>
        <w:rPr>
          <w:rFonts w:hint="eastAsia"/>
          <w:u w:val="single"/>
        </w:rPr>
        <w:t>　　　　</w:t>
      </w:r>
      <w:r>
        <w:rPr>
          <w:u w:val="single"/>
        </w:rPr>
        <w:t xml:space="preserve">       </w:t>
      </w:r>
      <w:r>
        <w:rPr>
          <w:rFonts w:hint="eastAsia"/>
          <w:u w:val="single"/>
        </w:rPr>
        <w:t>　</w:t>
      </w:r>
    </w:p>
    <w:p>
      <w:pPr>
        <w:snapToGrid w:val="0"/>
      </w:pPr>
    </w:p>
    <w:p>
      <w:pPr>
        <w:snapToGrid w:val="0"/>
      </w:pPr>
    </w:p>
    <w:p>
      <w:r>
        <w:rPr>
          <w:rFonts w:hint="eastAsia"/>
        </w:rPr>
        <w:t>　　填表日期：</w:t>
      </w:r>
      <w:r>
        <w:rPr>
          <w:u w:val="single"/>
        </w:rPr>
        <w:t xml:space="preserve">          </w:t>
      </w:r>
      <w:r>
        <w:rPr>
          <w:rFonts w:hint="eastAsia"/>
          <w:u w:val="single"/>
          <w:lang w:val="en-US" w:eastAsia="zh-CN"/>
        </w:rPr>
        <w:t>2020年11月28日</w:t>
      </w:r>
      <w:r>
        <w:rPr>
          <w:u w:val="single"/>
        </w:rPr>
        <w:t xml:space="preserve">             </w:t>
      </w:r>
    </w:p>
    <w:p>
      <w:pPr>
        <w:rPr>
          <w:rFonts w:hint="eastAsia"/>
        </w:rPr>
      </w:pPr>
    </w:p>
    <w:p>
      <w:pPr>
        <w:rPr>
          <w:rFonts w:hint="eastAsia"/>
        </w:rPr>
      </w:pPr>
    </w:p>
    <w:p/>
    <w:p>
      <w:pPr>
        <w:jc w:val="center"/>
        <w:rPr>
          <w:rFonts w:eastAsia="楷体_GB2312"/>
          <w:sz w:val="28"/>
          <w:szCs w:val="28"/>
        </w:rPr>
      </w:pPr>
      <w:r>
        <w:rPr>
          <w:rFonts w:hint="eastAsia" w:eastAsia="楷体_GB2312"/>
          <w:sz w:val="28"/>
          <w:szCs w:val="28"/>
        </w:rPr>
        <w:t>河</w:t>
      </w:r>
      <w:r>
        <w:rPr>
          <w:rFonts w:eastAsia="楷体_GB2312"/>
          <w:sz w:val="28"/>
          <w:szCs w:val="28"/>
        </w:rPr>
        <w:t xml:space="preserve"> </w:t>
      </w:r>
      <w:r>
        <w:rPr>
          <w:rFonts w:hint="eastAsia" w:eastAsia="楷体_GB2312"/>
          <w:sz w:val="28"/>
          <w:szCs w:val="28"/>
        </w:rPr>
        <w:t>南</w:t>
      </w:r>
      <w:r>
        <w:rPr>
          <w:rFonts w:eastAsia="楷体_GB2312"/>
          <w:sz w:val="28"/>
          <w:szCs w:val="28"/>
        </w:rPr>
        <w:t xml:space="preserve"> </w:t>
      </w:r>
      <w:r>
        <w:rPr>
          <w:rFonts w:hint="eastAsia" w:eastAsia="楷体_GB2312"/>
          <w:sz w:val="28"/>
          <w:szCs w:val="28"/>
        </w:rPr>
        <w:t>省</w:t>
      </w:r>
      <w:r>
        <w:rPr>
          <w:rFonts w:eastAsia="楷体_GB2312"/>
          <w:sz w:val="28"/>
          <w:szCs w:val="28"/>
        </w:rPr>
        <w:t xml:space="preserve"> </w:t>
      </w:r>
      <w:r>
        <w:rPr>
          <w:rFonts w:hint="eastAsia" w:eastAsia="楷体_GB2312"/>
          <w:sz w:val="28"/>
          <w:szCs w:val="28"/>
        </w:rPr>
        <w:t>教</w:t>
      </w:r>
      <w:r>
        <w:rPr>
          <w:rFonts w:eastAsia="楷体_GB2312"/>
          <w:sz w:val="28"/>
          <w:szCs w:val="28"/>
        </w:rPr>
        <w:t xml:space="preserve"> </w:t>
      </w:r>
      <w:r>
        <w:rPr>
          <w:rFonts w:hint="eastAsia" w:eastAsia="楷体_GB2312"/>
          <w:sz w:val="28"/>
          <w:szCs w:val="28"/>
        </w:rPr>
        <w:t>育</w:t>
      </w:r>
      <w:r>
        <w:rPr>
          <w:rFonts w:eastAsia="楷体_GB2312"/>
          <w:sz w:val="28"/>
          <w:szCs w:val="28"/>
        </w:rPr>
        <w:t xml:space="preserve"> </w:t>
      </w:r>
      <w:r>
        <w:rPr>
          <w:rFonts w:hint="eastAsia" w:eastAsia="楷体_GB2312"/>
          <w:sz w:val="28"/>
          <w:szCs w:val="28"/>
        </w:rPr>
        <w:t>厅</w:t>
      </w:r>
      <w:r>
        <w:rPr>
          <w:rFonts w:eastAsia="楷体_GB2312"/>
          <w:sz w:val="28"/>
          <w:szCs w:val="28"/>
        </w:rPr>
        <w:t xml:space="preserve"> </w:t>
      </w:r>
      <w:r>
        <w:rPr>
          <w:rFonts w:hint="eastAsia" w:eastAsia="楷体_GB2312"/>
          <w:sz w:val="28"/>
          <w:szCs w:val="28"/>
        </w:rPr>
        <w:t>制</w:t>
      </w:r>
    </w:p>
    <w:p>
      <w:pPr>
        <w:rPr>
          <w:rFonts w:ascii="黑体" w:eastAsia="黑体"/>
          <w:szCs w:val="20"/>
        </w:rPr>
      </w:pPr>
      <w:r>
        <w:rPr>
          <w:rFonts w:hint="eastAsia" w:ascii="黑体" w:eastAsia="黑体"/>
          <w:sz w:val="26"/>
        </w:rPr>
        <w:br w:type="page"/>
      </w:r>
      <w:r>
        <w:rPr>
          <w:rFonts w:hint="eastAsia" w:ascii="黑体" w:eastAsia="黑体"/>
        </w:rPr>
        <w:t>一、基本情况</w:t>
      </w:r>
    </w:p>
    <w:tbl>
      <w:tblPr>
        <w:tblStyle w:val="2"/>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659"/>
        <w:gridCol w:w="887"/>
        <w:gridCol w:w="657"/>
        <w:gridCol w:w="759"/>
        <w:gridCol w:w="785"/>
        <w:gridCol w:w="53"/>
        <w:gridCol w:w="435"/>
        <w:gridCol w:w="752"/>
        <w:gridCol w:w="925"/>
        <w:gridCol w:w="170"/>
        <w:gridCol w:w="106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宋丽娜</w:t>
            </w:r>
          </w:p>
        </w:tc>
        <w:tc>
          <w:tcPr>
            <w:tcW w:w="75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性别</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女</w:t>
            </w:r>
          </w:p>
        </w:tc>
        <w:tc>
          <w:tcPr>
            <w:tcW w:w="124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民族</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汉</w:t>
            </w:r>
          </w:p>
        </w:tc>
        <w:tc>
          <w:tcPr>
            <w:tcW w:w="123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出生日期</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24"/>
                <w:lang w:val="en-US" w:eastAsia="zh-CN"/>
              </w:rPr>
            </w:pPr>
            <w:r>
              <w:rPr>
                <w:rFonts w:hint="eastAsia"/>
                <w:sz w:val="24"/>
                <w:szCs w:val="24"/>
                <w:lang w:val="en-US" w:eastAsia="zh-CN"/>
              </w:rPr>
              <w:t>1983.7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所在单位</w:t>
            </w:r>
          </w:p>
        </w:tc>
        <w:tc>
          <w:tcPr>
            <w:tcW w:w="308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河南农业大学</w:t>
            </w:r>
          </w:p>
        </w:tc>
        <w:tc>
          <w:tcPr>
            <w:tcW w:w="124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行政职务</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3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专业职务</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研究专长</w:t>
            </w:r>
          </w:p>
        </w:tc>
        <w:tc>
          <w:tcPr>
            <w:tcW w:w="308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农村社会学</w:t>
            </w:r>
          </w:p>
        </w:tc>
        <w:tc>
          <w:tcPr>
            <w:tcW w:w="1240"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学历</w:t>
            </w:r>
          </w:p>
        </w:tc>
        <w:tc>
          <w:tcPr>
            <w:tcW w:w="92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研究生</w:t>
            </w:r>
          </w:p>
        </w:tc>
        <w:tc>
          <w:tcPr>
            <w:tcW w:w="123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1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电子信箱</w:t>
            </w:r>
          </w:p>
        </w:tc>
        <w:tc>
          <w:tcPr>
            <w:tcW w:w="3576"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24"/>
                <w:lang w:val="en-US" w:eastAsia="zh-CN"/>
              </w:rPr>
            </w:pPr>
            <w:r>
              <w:rPr>
                <w:rFonts w:hint="eastAsia"/>
                <w:sz w:val="24"/>
                <w:szCs w:val="24"/>
                <w:lang w:val="en-US" w:eastAsia="zh-CN"/>
              </w:rPr>
              <w:t>Wijuk86345@163.com</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sz w:val="24"/>
                <w:szCs w:val="24"/>
              </w:rPr>
            </w:pPr>
            <w:r>
              <w:rPr>
                <w:rFonts w:hint="eastAsia"/>
                <w:sz w:val="24"/>
                <w:szCs w:val="24"/>
              </w:rPr>
              <w:t>电</w:t>
            </w:r>
            <w:r>
              <w:rPr>
                <w:sz w:val="24"/>
                <w:szCs w:val="24"/>
              </w:rPr>
              <w:t xml:space="preserve">  </w:t>
            </w:r>
            <w:r>
              <w:rPr>
                <w:rFonts w:hint="eastAsia"/>
                <w:sz w:val="24"/>
                <w:szCs w:val="24"/>
              </w:rPr>
              <w:t>话</w:t>
            </w:r>
          </w:p>
        </w:tc>
        <w:tc>
          <w:tcPr>
            <w:tcW w:w="24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24"/>
                <w:lang w:val="en-US" w:eastAsia="zh-CN"/>
              </w:rPr>
            </w:pPr>
            <w:r>
              <w:rPr>
                <w:rFonts w:hint="eastAsia"/>
                <w:sz w:val="24"/>
                <w:szCs w:val="24"/>
                <w:lang w:val="en-US" w:eastAsia="zh-CN"/>
              </w:rPr>
              <w:t>18237100655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研</w:t>
            </w:r>
          </w:p>
          <w:p>
            <w:pPr>
              <w:jc w:val="center"/>
              <w:rPr>
                <w:sz w:val="24"/>
                <w:szCs w:val="24"/>
              </w:rPr>
            </w:pPr>
          </w:p>
          <w:p>
            <w:pPr>
              <w:jc w:val="center"/>
              <w:rPr>
                <w:sz w:val="24"/>
                <w:szCs w:val="24"/>
              </w:rPr>
            </w:pPr>
            <w:r>
              <w:rPr>
                <w:rFonts w:hint="eastAsia"/>
                <w:sz w:val="24"/>
                <w:szCs w:val="24"/>
              </w:rPr>
              <w:t>究</w:t>
            </w:r>
          </w:p>
          <w:p>
            <w:pPr>
              <w:jc w:val="center"/>
              <w:rPr>
                <w:sz w:val="24"/>
                <w:szCs w:val="24"/>
              </w:rPr>
            </w:pPr>
          </w:p>
          <w:p>
            <w:pPr>
              <w:jc w:val="center"/>
              <w:rPr>
                <w:sz w:val="24"/>
                <w:szCs w:val="24"/>
              </w:rPr>
            </w:pPr>
            <w:r>
              <w:rPr>
                <w:rFonts w:hint="eastAsia"/>
                <w:sz w:val="24"/>
                <w:szCs w:val="24"/>
              </w:rPr>
              <w:t>项</w:t>
            </w:r>
          </w:p>
          <w:p>
            <w:pPr>
              <w:jc w:val="center"/>
              <w:rPr>
                <w:sz w:val="24"/>
                <w:szCs w:val="24"/>
              </w:rPr>
            </w:pPr>
          </w:p>
          <w:p>
            <w:pPr>
              <w:jc w:val="center"/>
              <w:rPr>
                <w:sz w:val="24"/>
                <w:szCs w:val="24"/>
              </w:rPr>
            </w:pPr>
            <w:r>
              <w:rPr>
                <w:rFonts w:hint="eastAsia"/>
                <w:sz w:val="24"/>
                <w:szCs w:val="24"/>
              </w:rPr>
              <w:t>目</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项目名称</w:t>
            </w:r>
          </w:p>
        </w:tc>
        <w:tc>
          <w:tcPr>
            <w:tcW w:w="6864" w:type="dxa"/>
            <w:gridSpan w:val="10"/>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lang w:val="en-US" w:eastAsia="zh-CN"/>
              </w:rPr>
              <w:t>城镇化背景下的农民工家庭再生产研究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一级学科</w:t>
            </w:r>
          </w:p>
        </w:tc>
        <w:tc>
          <w:tcPr>
            <w:tcW w:w="2254" w:type="dxa"/>
            <w:gridSpan w:val="4"/>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4"/>
                <w:szCs w:val="24"/>
                <w:lang w:val="en-US" w:eastAsia="zh-CN"/>
              </w:rPr>
            </w:pPr>
            <w:r>
              <w:rPr>
                <w:rFonts w:hint="eastAsia"/>
                <w:sz w:val="24"/>
                <w:szCs w:val="24"/>
                <w:lang w:val="en-US" w:eastAsia="zh-CN"/>
              </w:rPr>
              <w:t>社会学</w:t>
            </w:r>
          </w:p>
        </w:tc>
        <w:tc>
          <w:tcPr>
            <w:tcW w:w="228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学科门类</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rPr>
                <w:rFonts w:hint="eastAsia" w:eastAsia="仿宋_GB2312"/>
                <w:sz w:val="24"/>
                <w:szCs w:val="24"/>
                <w:lang w:val="en-US" w:eastAsia="zh-CN"/>
              </w:rPr>
            </w:pPr>
            <w:r>
              <w:rPr>
                <w:rFonts w:hint="eastAsia"/>
                <w:sz w:val="24"/>
                <w:szCs w:val="24"/>
                <w:lang w:val="en-US" w:eastAsia="zh-CN"/>
              </w:rPr>
              <w:t>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研究类别</w:t>
            </w:r>
          </w:p>
        </w:tc>
        <w:tc>
          <w:tcPr>
            <w:tcW w:w="6864" w:type="dxa"/>
            <w:gridSpan w:val="10"/>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1</w:t>
            </w:r>
            <w:r>
              <w:rPr>
                <w:rFonts w:hint="eastAsia"/>
                <w:sz w:val="24"/>
                <w:szCs w:val="24"/>
              </w:rPr>
              <w:t>、基础</w:t>
            </w:r>
            <w:r>
              <w:rPr>
                <w:rFonts w:hint="default" w:ascii="Arial" w:hAnsi="Arial" w:cs="Arial"/>
                <w:sz w:val="24"/>
                <w:szCs w:val="24"/>
              </w:rPr>
              <w:t>√</w:t>
            </w:r>
            <w:r>
              <w:rPr>
                <w:sz w:val="24"/>
                <w:szCs w:val="24"/>
              </w:rPr>
              <w:t xml:space="preserve">      2</w:t>
            </w:r>
            <w:r>
              <w:rPr>
                <w:rFonts w:hint="eastAsia"/>
                <w:sz w:val="24"/>
                <w:szCs w:val="24"/>
              </w:rPr>
              <w:t>、应用</w:t>
            </w:r>
            <w:r>
              <w:rPr>
                <w:sz w:val="24"/>
                <w:szCs w:val="24"/>
              </w:rPr>
              <w:t xml:space="preserve">      3</w:t>
            </w:r>
            <w:r>
              <w:rPr>
                <w:rFonts w:hint="eastAsia"/>
                <w:sz w:val="24"/>
                <w:szCs w:val="24"/>
              </w:rPr>
              <w:t>、教学类</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3800"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资助金额</w:t>
            </w:r>
            <w:r>
              <w:rPr>
                <w:sz w:val="24"/>
                <w:szCs w:val="24"/>
              </w:rPr>
              <w:t xml:space="preserve">    </w:t>
            </w:r>
            <w:r>
              <w:rPr>
                <w:rFonts w:hint="eastAsia"/>
                <w:sz w:val="24"/>
                <w:szCs w:val="24"/>
                <w:lang w:val="en-US" w:eastAsia="zh-CN"/>
              </w:rPr>
              <w:t>3</w:t>
            </w:r>
            <w:r>
              <w:rPr>
                <w:sz w:val="24"/>
                <w:szCs w:val="24"/>
              </w:rPr>
              <w:t xml:space="preserve"> </w:t>
            </w:r>
            <w:r>
              <w:rPr>
                <w:rFonts w:hint="eastAsia"/>
                <w:sz w:val="24"/>
                <w:szCs w:val="24"/>
              </w:rPr>
              <w:t>万元</w:t>
            </w:r>
          </w:p>
        </w:tc>
        <w:tc>
          <w:tcPr>
            <w:tcW w:w="4610" w:type="dxa"/>
            <w:gridSpan w:val="6"/>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学校配套金额</w:t>
            </w:r>
            <w:r>
              <w:rPr>
                <w:sz w:val="24"/>
                <w:szCs w:val="24"/>
              </w:rPr>
              <w:t xml:space="preserve">                  </w:t>
            </w:r>
            <w:r>
              <w:rPr>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成果形式</w:t>
            </w:r>
          </w:p>
        </w:tc>
        <w:tc>
          <w:tcPr>
            <w:tcW w:w="6864" w:type="dxa"/>
            <w:gridSpan w:val="10"/>
            <w:tcBorders>
              <w:top w:val="single" w:color="auto" w:sz="4" w:space="0"/>
              <w:left w:val="single" w:color="auto" w:sz="4" w:space="0"/>
              <w:bottom w:val="single" w:color="auto" w:sz="4" w:space="0"/>
              <w:right w:val="single" w:color="auto" w:sz="4" w:space="0"/>
            </w:tcBorders>
            <w:vAlign w:val="center"/>
          </w:tcPr>
          <w:p>
            <w:pPr>
              <w:rPr>
                <w:sz w:val="24"/>
                <w:szCs w:val="24"/>
              </w:rPr>
            </w:pPr>
            <w:r>
              <w:rPr>
                <w:sz w:val="24"/>
                <w:szCs w:val="24"/>
              </w:rPr>
              <w:t>A</w:t>
            </w:r>
            <w:r>
              <w:rPr>
                <w:rFonts w:hint="eastAsia"/>
                <w:sz w:val="24"/>
                <w:szCs w:val="24"/>
              </w:rPr>
              <w:t xml:space="preserve">．著作　    </w:t>
            </w:r>
            <w:r>
              <w:rPr>
                <w:sz w:val="24"/>
                <w:szCs w:val="24"/>
              </w:rPr>
              <w:t xml:space="preserve">B. </w:t>
            </w:r>
            <w:r>
              <w:rPr>
                <w:rFonts w:hint="eastAsia"/>
                <w:sz w:val="24"/>
                <w:szCs w:val="24"/>
              </w:rPr>
              <w:t>论文</w:t>
            </w:r>
            <w:r>
              <w:rPr>
                <w:rFonts w:hint="default" w:ascii="Arial" w:hAnsi="Arial" w:cs="Arial"/>
                <w:sz w:val="24"/>
                <w:szCs w:val="24"/>
              </w:rPr>
              <w:t>√</w:t>
            </w:r>
            <w:r>
              <w:rPr>
                <w:rFonts w:hint="eastAsia"/>
                <w:sz w:val="24"/>
                <w:szCs w:val="24"/>
              </w:rPr>
              <w:t xml:space="preserve">　     </w:t>
            </w:r>
            <w:r>
              <w:rPr>
                <w:sz w:val="24"/>
                <w:szCs w:val="24"/>
              </w:rPr>
              <w:t>C.</w:t>
            </w:r>
            <w:r>
              <w:rPr>
                <w:rFonts w:hint="eastAsia"/>
                <w:sz w:val="24"/>
                <w:szCs w:val="24"/>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获奖情况</w:t>
            </w:r>
          </w:p>
        </w:tc>
        <w:tc>
          <w:tcPr>
            <w:tcW w:w="6864" w:type="dxa"/>
            <w:gridSpan w:val="10"/>
            <w:tcBorders>
              <w:top w:val="single" w:color="auto" w:sz="4" w:space="0"/>
              <w:left w:val="single" w:color="auto" w:sz="4" w:space="0"/>
              <w:bottom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主要参加人</w:t>
            </w: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姓名</w:t>
            </w:r>
          </w:p>
        </w:tc>
        <w:tc>
          <w:tcPr>
            <w:tcW w:w="2689" w:type="dxa"/>
            <w:gridSpan w:val="5"/>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单位</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职称</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60" w:type="dxa"/>
            <w:vMerge w:val="continue"/>
            <w:tcBorders>
              <w:left w:val="single" w:color="auto" w:sz="4" w:space="0"/>
              <w:right w:val="single" w:color="auto" w:sz="4" w:space="0"/>
            </w:tcBorders>
            <w:vAlign w:val="center"/>
          </w:tcPr>
          <w:p>
            <w:pPr>
              <w:jc w:val="center"/>
              <w:rPr>
                <w:rFonts w:hint="eastAsia"/>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宋丽娜</w:t>
            </w:r>
          </w:p>
        </w:tc>
        <w:tc>
          <w:tcPr>
            <w:tcW w:w="2689"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lang w:val="en-US" w:eastAsia="zh-CN"/>
              </w:rPr>
              <w:t>河南农业大学文法学院</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副教授</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24"/>
                <w:lang w:val="en-US" w:eastAsia="zh-CN"/>
              </w:rPr>
            </w:pPr>
            <w:r>
              <w:rPr>
                <w:rFonts w:hint="eastAsia"/>
                <w:sz w:val="24"/>
                <w:szCs w:val="24"/>
                <w:lang w:val="en-US" w:eastAsia="zh-CN"/>
              </w:rPr>
              <w:t>总论、论文撰写发表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李伟</w:t>
            </w:r>
          </w:p>
        </w:tc>
        <w:tc>
          <w:tcPr>
            <w:tcW w:w="2689" w:type="dxa"/>
            <w:gridSpan w:val="5"/>
            <w:tcBorders>
              <w:top w:val="single" w:color="auto" w:sz="4" w:space="0"/>
              <w:left w:val="single" w:color="auto" w:sz="4" w:space="0"/>
              <w:bottom w:val="single" w:color="auto" w:sz="4" w:space="0"/>
              <w:right w:val="single" w:color="auto" w:sz="4" w:space="0"/>
            </w:tcBorders>
            <w:vAlign w:val="center"/>
          </w:tcPr>
          <w:p>
            <w:pPr>
              <w:rPr>
                <w:rFonts w:hint="default" w:eastAsia="仿宋_GB2312"/>
                <w:sz w:val="24"/>
                <w:szCs w:val="24"/>
                <w:lang w:val="en-US" w:eastAsia="zh-CN"/>
              </w:rPr>
            </w:pPr>
            <w:r>
              <w:rPr>
                <w:rFonts w:hint="eastAsia"/>
                <w:sz w:val="24"/>
                <w:szCs w:val="24"/>
                <w:lang w:val="en-US" w:eastAsia="zh-CN"/>
              </w:rPr>
              <w:t>河南农业大学文法学院</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副教授</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24"/>
                <w:lang w:val="en-US" w:eastAsia="zh-CN"/>
              </w:rPr>
            </w:pPr>
            <w:r>
              <w:rPr>
                <w:rFonts w:hint="eastAsia"/>
                <w:sz w:val="24"/>
                <w:szCs w:val="24"/>
                <w:lang w:val="en-US" w:eastAsia="zh-CN"/>
              </w:rPr>
              <w:t>组织协调、调研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刘忠魏</w:t>
            </w:r>
          </w:p>
        </w:tc>
        <w:tc>
          <w:tcPr>
            <w:tcW w:w="268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lang w:val="en-US" w:eastAsia="zh-CN"/>
              </w:rPr>
              <w:t>河南农业大学文法学院</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讲师</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仿宋_GB2312"/>
                <w:sz w:val="24"/>
                <w:szCs w:val="24"/>
                <w:lang w:val="en-US" w:eastAsia="zh-CN"/>
              </w:rPr>
            </w:pPr>
            <w:r>
              <w:rPr>
                <w:rFonts w:hint="eastAsia"/>
                <w:sz w:val="24"/>
                <w:szCs w:val="24"/>
                <w:lang w:val="en-US" w:eastAsia="zh-CN"/>
              </w:rPr>
              <w:t>调研写作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赵路淋</w:t>
            </w:r>
          </w:p>
        </w:tc>
        <w:tc>
          <w:tcPr>
            <w:tcW w:w="268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lang w:val="en-US" w:eastAsia="zh-CN"/>
              </w:rPr>
              <w:t>河南农业大学文法学院</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讲师</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调研写作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冯晓娟</w:t>
            </w:r>
          </w:p>
        </w:tc>
        <w:tc>
          <w:tcPr>
            <w:tcW w:w="2689" w:type="dxa"/>
            <w:gridSpan w:val="5"/>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lang w:val="en-US" w:eastAsia="zh-CN"/>
              </w:rPr>
              <w:t>河南农业大学文法学院</w:t>
            </w:r>
          </w:p>
        </w:tc>
        <w:tc>
          <w:tcPr>
            <w:tcW w:w="184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讲师</w:t>
            </w:r>
          </w:p>
        </w:tc>
        <w:tc>
          <w:tcPr>
            <w:tcW w:w="2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仿宋_GB2312"/>
                <w:sz w:val="24"/>
                <w:szCs w:val="24"/>
                <w:lang w:val="en-US" w:eastAsia="zh-CN"/>
              </w:rPr>
            </w:pPr>
            <w:r>
              <w:rPr>
                <w:rFonts w:hint="eastAsia"/>
                <w:sz w:val="24"/>
                <w:szCs w:val="24"/>
                <w:lang w:val="en-US" w:eastAsia="zh-CN"/>
              </w:rPr>
              <w:t>调研写作</w:t>
            </w:r>
          </w:p>
        </w:tc>
      </w:tr>
    </w:tbl>
    <w:p>
      <w:pPr>
        <w:rPr>
          <w:rFonts w:hint="eastAsia"/>
        </w:rPr>
      </w:pPr>
    </w:p>
    <w:p>
      <w:pPr>
        <w:rPr>
          <w:rFonts w:hint="eastAsia" w:ascii="黑体" w:eastAsia="黑体"/>
          <w:szCs w:val="20"/>
        </w:rPr>
      </w:pPr>
      <w:r>
        <w:br w:type="page"/>
      </w:r>
      <w:r>
        <w:rPr>
          <w:rFonts w:hint="eastAsia" w:ascii="黑体" w:eastAsia="黑体"/>
        </w:rPr>
        <w:t>二、总结报告</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8" w:hRule="atLeast"/>
          <w:jc w:val="center"/>
        </w:trPr>
        <w:tc>
          <w:tcPr>
            <w:tcW w:w="882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_GB2312" w:hAnsi="仿宋"/>
                <w:bCs/>
                <w:sz w:val="21"/>
                <w:szCs w:val="21"/>
              </w:rPr>
            </w:pPr>
            <w:r>
              <w:rPr>
                <w:rFonts w:hint="eastAsia" w:ascii="仿宋_GB2312" w:hAnsi="仿宋"/>
                <w:bCs/>
                <w:sz w:val="21"/>
                <w:szCs w:val="21"/>
              </w:rPr>
              <w:t>主要内容：项目预期计划执行情况；成果内容、特色及创新点，主要学术价值和应用价值；在教学水平、科研能力、团队建设、社会服务等方面的完成情况；不足之处及努力方向。</w:t>
            </w:r>
          </w:p>
          <w:p>
            <w:pPr>
              <w:snapToGrid w:val="0"/>
              <w:jc w:val="left"/>
              <w:rPr>
                <w:rFonts w:hint="eastAsia" w:ascii="仿宋_GB2312" w:hAnsi="仿宋"/>
                <w:bCs/>
                <w:sz w:val="21"/>
                <w:szCs w:val="21"/>
              </w:rPr>
            </w:pP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eastAsia" w:ascii="仿宋_GB2312" w:hAnsi="仿宋" w:eastAsia="仿宋_GB2312"/>
                <w:b/>
                <w:bCs w:val="0"/>
                <w:sz w:val="28"/>
                <w:szCs w:val="28"/>
                <w:lang w:eastAsia="zh-CN"/>
              </w:rPr>
            </w:pPr>
            <w:r>
              <w:rPr>
                <w:rFonts w:hint="eastAsia" w:ascii="仿宋_GB2312" w:hAnsi="仿宋"/>
                <w:b/>
                <w:bCs w:val="0"/>
                <w:sz w:val="28"/>
                <w:szCs w:val="28"/>
                <w:lang w:val="en-US" w:eastAsia="zh-CN"/>
              </w:rPr>
              <w:t>一、</w:t>
            </w:r>
            <w:r>
              <w:rPr>
                <w:rFonts w:hint="eastAsia" w:ascii="仿宋_GB2312" w:hAnsi="仿宋"/>
                <w:b/>
                <w:bCs w:val="0"/>
                <w:sz w:val="28"/>
                <w:szCs w:val="28"/>
              </w:rPr>
              <w:t>项目预期计划执行情况</w:t>
            </w:r>
            <w:r>
              <w:rPr>
                <w:rFonts w:hint="eastAsia" w:ascii="仿宋_GB2312" w:hAnsi="仿宋"/>
                <w:b/>
                <w:bCs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eastAsia="仿宋_GB2312"/>
                <w:bCs/>
                <w:sz w:val="22"/>
                <w:szCs w:val="22"/>
                <w:lang w:val="en-US" w:eastAsia="zh-CN"/>
              </w:rPr>
            </w:pPr>
            <w:r>
              <w:rPr>
                <w:rFonts w:hint="eastAsia" w:ascii="仿宋_GB2312" w:hAnsi="仿宋"/>
                <w:bCs/>
                <w:sz w:val="22"/>
                <w:szCs w:val="22"/>
                <w:lang w:val="en-US" w:eastAsia="zh-CN"/>
              </w:rPr>
              <w:t>1、本项目在研期间，均严格按照预期计划进行。分别在田野调查、研究报告撰写、论文发表、著作汇编、教学研究、社会特色服务活动、团队建设等方面有明显的推进，并且取得了一定的成果。</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eastAsia="仿宋_GB2312"/>
                <w:bCs/>
                <w:sz w:val="22"/>
                <w:szCs w:val="22"/>
                <w:lang w:val="en-US" w:eastAsia="zh-CN"/>
              </w:rPr>
            </w:pPr>
            <w:r>
              <w:rPr>
                <w:rFonts w:hint="eastAsia" w:ascii="仿宋_GB2312" w:hAnsi="仿宋"/>
                <w:bCs/>
                <w:sz w:val="22"/>
                <w:szCs w:val="22"/>
                <w:lang w:val="en-US" w:eastAsia="zh-CN"/>
              </w:rPr>
              <w:t>2、2018-2020年共组织调研团队进行了6次社会调研，累计调研时间80天，分别在馨家苑社区服务中心（某社会工作机构）、河南省郑州市和信阳市、江苏省苏州市、湖北省襄阳市，撰写调研报告10万多字。这些素材构成了本项目研究论文和著作的基本资料。同时，从2018年下半年开始，指导大学生社团“社会工作协会”开展儿童社会工作系列实务活动，作为专业特色实践教学的重要组成部分，传播了专业理念。在系列活动开展的基础上指导学生做相关研究，在“挑战杯”和大学生创新创业计划训练项目等方面都有突破。</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eastAsia="仿宋_GB2312"/>
                <w:bCs/>
                <w:sz w:val="22"/>
                <w:szCs w:val="22"/>
                <w:lang w:val="en-US" w:eastAsia="zh-CN"/>
              </w:rPr>
            </w:pPr>
            <w:r>
              <w:rPr>
                <w:rFonts w:hint="eastAsia" w:ascii="仿宋_GB2312" w:hAnsi="仿宋"/>
                <w:bCs/>
                <w:sz w:val="22"/>
                <w:szCs w:val="22"/>
                <w:lang w:val="en-US" w:eastAsia="zh-CN"/>
              </w:rPr>
              <w:t>3、综上，本项目圆满完成了预期的计划，并且在一些方面，如儿童社会工作实务等领域有所突破。</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eastAsia" w:ascii="仿宋_GB2312" w:hAnsi="仿宋"/>
                <w:b/>
                <w:bCs w:val="0"/>
                <w:sz w:val="28"/>
                <w:szCs w:val="28"/>
                <w:lang w:val="en-US" w:eastAsia="zh-CN"/>
              </w:rPr>
            </w:pPr>
            <w:r>
              <w:rPr>
                <w:rFonts w:hint="eastAsia" w:ascii="仿宋_GB2312" w:hAnsi="仿宋"/>
                <w:b/>
                <w:bCs w:val="0"/>
                <w:sz w:val="28"/>
                <w:szCs w:val="28"/>
                <w:lang w:val="en-US" w:eastAsia="zh-CN"/>
              </w:rPr>
              <w:t>二、项目成果内容、特色及创新点，主要学术价值和应用价值。</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1、本项目主要成果有：发表论文3篇，其中1篇CSSCI期刊文章，1篇CSSCI扩展版期刊文章，还有1篇文章被收录在《2018年度河南蓝皮书·社会》。有两本著作已经完成写作和修订，分别在社会科学文献出版社和中国农业出版社待版，预计2021年出版。在教学上注重学生社会工作实务能力的培育，指导“挑战杯”大学生课外科技作品竞赛项目，获得省级二等奖；指导两项大学生创新创业计划训练项目，一项已经完成，还有一项尚在进行；参加首届河南省高校社会工作案例大赛，并获得叁等奖；组织学生社团在农大家属院开展“金色少年”儿童社会工作服务活动，已经连续进行12期，获得很好的社会效应；指导学生参与“全国大学生预防艾滋病知识竞赛”等活动，并获得“优秀指导教师”称号。</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2、本项目的特色有三点。首先，进行了大量的社会调研，对于农民工问题及其家庭生活有着丰富的经验基础，在此基础上进行机制建构和理论提升，尤其对于新生代农民工的婚恋问题做了重点分析。其次，本项目的实践意义凸显，以学术关怀社会，用理性分析来讨论政策实践的意义，这使得本项目的研究成果一方面对于现实有较大的解释力，另一方面也尝试通过理性的分析来获得对特定领域政策实践效应的判断。最后，本项目也在理论关怀的基础上开展了一些实务工作，如儿童社会工作系列活动，以自身的专业性来服务社会、影响社会。</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3、本项目的创新点有二。首先，学术研究方法的创新，通过大量的经验调查获得学术灵感，在理论研读和经验分析的基础上来回应社会问题，回应社会政策；这是质性研究方法的具体应用。其次，教研的社会化路径的探索。通过专业实务活动（儿童社会工作）将理论与实务结合起来，将学术研究与实践教学相互融合，将大学校园与社会有机联结。</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4、本项目的学术价值和应用价值。在学术上，本项目对于城镇化背景下新生代农民工的婚姻家庭问题进行了系统的调查研究，具体阐述了“流水线上的爱情快餐”和“双系婚姻的运作机制”，增进了学术界对于新生代农民工婚姻家庭问题的看法，将此问题放置在城镇化的背景下解读，构建了农民工的家庭再生产机制具体模型。这些研究发现丰富了学界对相关问题的看法。在应用层面，一方面，本项目以大量的社会调研为基础关注现实问题，回应相关政策命题；另一方面，本项目也尝试以儿童社会工作实务工作为切入点，以专业服务社会，尝试解决社会问题。</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eastAsia" w:ascii="仿宋_GB2312" w:hAnsi="仿宋"/>
                <w:b/>
                <w:bCs w:val="0"/>
                <w:sz w:val="28"/>
                <w:szCs w:val="28"/>
                <w:lang w:val="en-US" w:eastAsia="zh-CN"/>
              </w:rPr>
            </w:pPr>
            <w:r>
              <w:rPr>
                <w:rFonts w:hint="eastAsia" w:ascii="仿宋_GB2312" w:hAnsi="仿宋"/>
                <w:b/>
                <w:bCs w:val="0"/>
                <w:sz w:val="28"/>
                <w:szCs w:val="28"/>
                <w:lang w:val="en-US" w:eastAsia="zh-CN"/>
              </w:rPr>
              <w:t>三、项目在教学水平、科研能力、团队建设、社会服务等方面的完成情况。</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eastAsia="仿宋_GB2312"/>
                <w:bCs/>
                <w:sz w:val="22"/>
                <w:szCs w:val="22"/>
                <w:lang w:val="en-US" w:eastAsia="zh-CN"/>
              </w:rPr>
            </w:pPr>
            <w:r>
              <w:rPr>
                <w:rFonts w:hint="eastAsia" w:ascii="仿宋_GB2312" w:hAnsi="仿宋"/>
                <w:bCs/>
                <w:sz w:val="22"/>
                <w:szCs w:val="22"/>
                <w:lang w:val="en-US" w:eastAsia="zh-CN"/>
              </w:rPr>
              <w:t>1、教学水平：课堂教学中创新教学方法，综合运用案例教学、课堂讨论、实践活动展现、课堂实验等方法来全方位多维度地提升教学质量；实践教学中，以“金色少年”儿童社会工作系列活动为依托，提升大学生的实务工作能力，同时以实务工作为基础指导大学生开展课题研究，提升大学生分析问题和解决问题的能力。以上的实践和创新很大程度上提升教学水平。</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2、科研能力：在原本“城镇化背景下的农民工家庭再生产研究”的命题下，进一步凝练研究方向，尤其是对于新生代农民工的婚恋问题有着系统和深入的研究，形成了系列研究成果。同时，对于基层治理的讨论也更多丰富，对于中国社会工作实践的认识也日益成熟，这些都构成了科研能力提升的基础。</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3、团队建设：本项目所有成果的获得都是团队协作的结果，文法学院社会学系的李伟、刘忠魏、赵路淋和冯晓娟老师，均在调查研究、报告撰写和社会服务活动指导等层面有深度参与；还有院系的其他老师也都对本项目成果有一定的影响和贡献。通过本项目研究，团队成员进一步凝练了研究方向，在研究方法上也日益互补，初步建立的学术合作的工作机制。</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4、社会服务：一方面，大量的调研材料关注社会现实问题，回应社会政策，为相关部门建言献策；另一方面，开展“金色少年”儿童社会工作系列活动，以专业服务社会，用科学编辑身边的生活世界。</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eastAsia" w:ascii="仿宋_GB2312" w:hAnsi="仿宋"/>
                <w:b/>
                <w:bCs w:val="0"/>
                <w:sz w:val="28"/>
                <w:szCs w:val="28"/>
                <w:lang w:val="en-US" w:eastAsia="zh-CN"/>
              </w:rPr>
            </w:pPr>
            <w:r>
              <w:rPr>
                <w:rFonts w:hint="eastAsia" w:ascii="仿宋_GB2312" w:hAnsi="仿宋"/>
                <w:b/>
                <w:bCs w:val="0"/>
                <w:sz w:val="28"/>
                <w:szCs w:val="28"/>
                <w:lang w:val="en-US" w:eastAsia="zh-CN"/>
              </w:rPr>
              <w:t>四、项目不足之处及努力方向。</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1、本项目的成果还不足，需进一步提升转化。本项目开展的大量的社会调查，然而只有少部分的材料转化为了发表的成果。这一方面意味着我们拥有进一步深入研究的良好基础，另一方面也意味着本项目所赋予我们的学术使命还未完成，我们需要不断努力，攀登更高的学术高峰。</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2、本项目对于实践教学和实务工作的探索还有待进一步开掘。如何将大学生的课堂搬到社会中？既具有课堂教学的标准化层面，也充分吸收社会的丰富性和灵动性，最终真正达到提升大学生的专业素养和实践能力的目标。这是我们在既有实务工作基础上对自己提出的更高要求。</w:t>
            </w:r>
          </w:p>
          <w:p>
            <w:pPr>
              <w:snapToGrid w:val="0"/>
              <w:jc w:val="left"/>
              <w:rPr>
                <w:rFonts w:hint="eastAsia" w:ascii="仿宋_GB2312" w:hAnsi="仿宋"/>
                <w:bCs/>
                <w:sz w:val="21"/>
                <w:szCs w:val="21"/>
              </w:rPr>
            </w:pPr>
          </w:p>
          <w:p>
            <w:pPr>
              <w:snapToGrid w:val="0"/>
              <w:jc w:val="left"/>
              <w:rPr>
                <w:rFonts w:hint="eastAsia" w:ascii="仿宋_GB2312" w:hAnsi="仿宋"/>
                <w:bCs/>
                <w:sz w:val="21"/>
                <w:szCs w:val="21"/>
              </w:rPr>
            </w:pPr>
          </w:p>
          <w:p>
            <w:pPr>
              <w:ind w:firstLine="480"/>
              <w:rPr>
                <w:rFonts w:hint="eastAsia" w:ascii="仿宋_GB2312"/>
                <w:sz w:val="24"/>
              </w:rPr>
            </w:pPr>
          </w:p>
          <w:p>
            <w:pPr>
              <w:ind w:firstLine="480"/>
              <w:rPr>
                <w:rFonts w:hint="eastAsia" w:ascii="仿宋_GB2312"/>
                <w:sz w:val="24"/>
              </w:rPr>
            </w:pPr>
            <w:r>
              <w:rPr>
                <w:rFonts w:hint="eastAsia" w:ascii="仿宋_GB2312"/>
                <w:sz w:val="24"/>
              </w:rPr>
              <w:t>培养对象签字：</w:t>
            </w:r>
          </w:p>
          <w:p>
            <w:pPr>
              <w:ind w:firstLine="4226"/>
              <w:rPr>
                <w:rFonts w:hint="eastAsia" w:ascii="仿宋_GB2312"/>
                <w:sz w:val="24"/>
              </w:rPr>
            </w:pPr>
          </w:p>
          <w:p>
            <w:pPr>
              <w:ind w:firstLine="480"/>
              <w:rPr>
                <w:rFonts w:hint="eastAsia" w:ascii="仿宋_GB2312"/>
                <w:sz w:val="24"/>
              </w:rPr>
            </w:pPr>
            <w:r>
              <w:rPr>
                <w:rFonts w:hint="eastAsia" w:ascii="仿宋_GB2312"/>
                <w:sz w:val="24"/>
              </w:rPr>
              <w:t>　　　　　　　　　　　　　　　　　　　　　　年　　月　　日</w:t>
            </w:r>
          </w:p>
        </w:tc>
      </w:tr>
    </w:tbl>
    <w:p>
      <w:pPr>
        <w:rPr>
          <w:rFonts w:hint="eastAsia" w:eastAsia="黑体"/>
          <w:szCs w:val="20"/>
        </w:rPr>
      </w:pPr>
      <w:r>
        <w:rPr>
          <w:rFonts w:hint="eastAsia" w:eastAsia="黑体"/>
        </w:rPr>
        <w:t>三、培养期成果一览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9135" w:type="dxa"/>
            <w:tcBorders>
              <w:top w:val="single" w:color="auto" w:sz="4" w:space="0"/>
              <w:left w:val="single" w:color="auto" w:sz="4" w:space="0"/>
              <w:bottom w:val="single" w:color="auto" w:sz="4" w:space="0"/>
              <w:right w:val="single" w:color="auto" w:sz="4" w:space="0"/>
            </w:tcBorders>
          </w:tcPr>
          <w:p>
            <w:pPr>
              <w:snapToGrid w:val="0"/>
              <w:rPr>
                <w:rFonts w:hint="eastAsia" w:ascii="仿宋_GB2312" w:hAnsi="仿宋"/>
                <w:bCs/>
                <w:sz w:val="21"/>
                <w:szCs w:val="21"/>
              </w:rPr>
            </w:pPr>
            <w:r>
              <w:rPr>
                <w:rFonts w:hint="eastAsia" w:ascii="仿宋_GB2312" w:hAnsi="仿宋"/>
                <w:bCs/>
                <w:sz w:val="21"/>
                <w:szCs w:val="21"/>
              </w:rPr>
              <w:t>1、承担主要教学科研项目及获奖、获得专利情况</w:t>
            </w:r>
          </w:p>
          <w:p>
            <w:pPr>
              <w:snapToGrid w:val="0"/>
              <w:rPr>
                <w:rFonts w:hint="eastAsia" w:ascii="仿宋_GB2312" w:hAnsi="仿宋"/>
                <w:sz w:val="21"/>
                <w:szCs w:val="21"/>
              </w:rPr>
            </w:pPr>
            <w:r>
              <w:rPr>
                <w:rFonts w:hint="eastAsia" w:ascii="仿宋_GB2312" w:hAnsi="仿宋"/>
                <w:bCs/>
                <w:sz w:val="21"/>
                <w:szCs w:val="21"/>
              </w:rPr>
              <w:t>（请注明项目名称、项目来源、项目经费、项目起讫时间、所有项目完成人姓名以及项目完成人排序等。如成果获得相应科技奖励，请注明授奖单位、奖励名称、级别及日期；如成果获得专利，请注明获准专利国别、类别及专利号）</w:t>
            </w:r>
          </w:p>
          <w:p>
            <w:pPr>
              <w:snapToGrid w:val="0"/>
              <w:rPr>
                <w:rFonts w:hint="eastAsia" w:ascii="仿宋_GB2312" w:hAnsi="仿宋"/>
                <w:bCs/>
                <w:sz w:val="21"/>
                <w:szCs w:val="21"/>
              </w:rPr>
            </w:pP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default" w:ascii="仿宋_GB2312" w:hAnsi="仿宋"/>
                <w:b/>
                <w:bCs w:val="0"/>
                <w:sz w:val="28"/>
                <w:szCs w:val="28"/>
                <w:lang w:val="en-US" w:eastAsia="zh-CN"/>
              </w:rPr>
            </w:pPr>
            <w:r>
              <w:rPr>
                <w:rFonts w:hint="eastAsia" w:ascii="仿宋_GB2312" w:hAnsi="仿宋"/>
                <w:b/>
                <w:bCs w:val="0"/>
                <w:sz w:val="28"/>
                <w:szCs w:val="28"/>
                <w:lang w:val="en-US" w:eastAsia="zh-CN"/>
              </w:rPr>
              <w:t>一、项目：</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1、国家社科基金项目结项，“新生代农民工的婚恋模式及其风险应对机制构建研究”（批准号：14CSH029，结项号：20193227）；项目经费：20万元；项目起讫时间：2014年7月至2019年9月；项目主持人；</w:t>
            </w:r>
            <w:bookmarkStart w:id="0" w:name="_GoBack"/>
            <w:bookmarkEnd w:id="0"/>
            <w:r>
              <w:rPr>
                <w:rFonts w:hint="eastAsia" w:ascii="仿宋_GB2312" w:hAnsi="仿宋"/>
                <w:bCs/>
                <w:sz w:val="22"/>
                <w:szCs w:val="22"/>
                <w:lang w:val="en-US" w:eastAsia="zh-CN"/>
              </w:rPr>
              <w:t>主要参加人员：王向阳，曹广伟，宋利朝，徐荣芳。鉴定等级：合格。日期：2019年9月24日。</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2、河南省高校哲学社会科学优秀学者资助项目，“农村社会学、三农问题”（编号：2016-YXXZ-14），项目经费：3万元；项目立项时间：2015年11月，项目主持人，目前在研，预计2021年结项。</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3、河南农业大学社会治理创新研究中心项目，“农民工的家庭再生产：要素、资源与出路”（编号：2017-SG-05）；项目经费：3万元；项目立项时间：2017年9月，项目主持人，目前在研，预计2021年结项。</w:t>
            </w:r>
            <w:r>
              <w:rPr>
                <w:rFonts w:hint="eastAsia" w:ascii="仿宋_GB2312" w:hAnsi="仿宋"/>
                <w:bCs/>
                <w:sz w:val="22"/>
                <w:szCs w:val="22"/>
                <w:lang w:val="en-US" w:eastAsia="zh-CN"/>
              </w:rPr>
              <w:tab/>
            </w:r>
            <w:r>
              <w:rPr>
                <w:rFonts w:hint="eastAsia" w:ascii="仿宋_GB2312" w:hAnsi="仿宋"/>
                <w:bCs/>
                <w:sz w:val="22"/>
                <w:szCs w:val="22"/>
                <w:lang w:val="en-US" w:eastAsia="zh-CN"/>
              </w:rPr>
              <w:tab/>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4、参与国家社科基金项目，“返乡农民工的社会适应及社会应对机制构建研究”（批准号：12CSH018，结项号：20184355），项目经费：20万元；项目起讫时间：2012年7月至2018年12月；负责人张世勇；主要参加人员：卢云龙子，宋丽娜，陈锋，刘勤，罗士泂；参与第三名。鉴定等级：合格。日期：2018年12月26日。</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default" w:ascii="仿宋_GB2312" w:hAnsi="仿宋"/>
                <w:b/>
                <w:bCs w:val="0"/>
                <w:sz w:val="28"/>
                <w:szCs w:val="28"/>
                <w:lang w:val="en-US" w:eastAsia="zh-CN"/>
              </w:rPr>
            </w:pPr>
            <w:r>
              <w:rPr>
                <w:rFonts w:hint="eastAsia" w:ascii="仿宋_GB2312" w:hAnsi="仿宋"/>
                <w:b/>
                <w:bCs w:val="0"/>
                <w:sz w:val="28"/>
                <w:szCs w:val="28"/>
                <w:lang w:val="en-US" w:eastAsia="zh-CN"/>
              </w:rPr>
              <w:t>二、奖励：</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1、论文“结婚未成年——河南农村的早婚及其社会运作机制”，荣获河南省教育厅2017年度人文社会科学研究优秀成果奖，二等奖，证书编号：2017-C-2079，2018年7月，独著。</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2、论文“流水线上的爱情快餐——以在富士康郑州厂区的调研为例”，荣获河南省教育厅2019年度人文社会科学研究优秀成果奖，三等奖，证书编号：2019-C-S123，2020年8月，独著。</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3、“第四届全国大学生预防艾滋病知识竞赛”，组织学生参加比赛，成绩突出，被评为“优秀指导教师”。</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4、河南农业大学文法学院2017年度优秀班主任。</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5、河南农业大学文法学院2018年度优秀班主任。</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6、河南农业大学文法学院2020届本科毕业论文优秀指导教师。</w:t>
            </w:r>
          </w:p>
          <w:p>
            <w:pPr>
              <w:rPr>
                <w:rFonts w:hint="eastAsia" w:ascii="黑体" w:eastAsia="黑体"/>
                <w:sz w:val="28"/>
              </w:rPr>
            </w:pPr>
          </w:p>
          <w:p>
            <w:pPr>
              <w:rPr>
                <w:rFonts w:hint="eastAsia" w:ascii="黑体" w:eastAsia="黑体"/>
                <w:sz w:val="28"/>
              </w:rPr>
            </w:pPr>
          </w:p>
        </w:tc>
      </w:tr>
    </w:tbl>
    <w:p>
      <w:pPr>
        <w:rPr>
          <w:rFonts w:eastAsia="黑体"/>
          <w:szCs w:val="20"/>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trPr>
        <w:tc>
          <w:tcPr>
            <w:tcW w:w="9135"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_GB2312" w:hAnsi="仿宋"/>
                <w:bCs/>
                <w:sz w:val="21"/>
                <w:szCs w:val="21"/>
              </w:rPr>
            </w:pPr>
            <w:r>
              <w:rPr>
                <w:rFonts w:hint="eastAsia" w:ascii="仿宋_GB2312" w:hAnsi="仿宋"/>
                <w:bCs/>
                <w:sz w:val="21"/>
                <w:szCs w:val="21"/>
              </w:rPr>
              <w:t>2、代表性著作、论文</w:t>
            </w:r>
          </w:p>
          <w:p>
            <w:pPr>
              <w:snapToGrid w:val="0"/>
              <w:jc w:val="left"/>
              <w:rPr>
                <w:rFonts w:hint="eastAsia" w:ascii="仿宋_GB2312" w:hAnsi="仿宋"/>
                <w:bCs/>
                <w:sz w:val="21"/>
                <w:szCs w:val="21"/>
              </w:rPr>
            </w:pPr>
            <w:r>
              <w:rPr>
                <w:rFonts w:hint="eastAsia" w:ascii="仿宋_GB2312" w:hAnsi="仿宋"/>
                <w:bCs/>
                <w:sz w:val="21"/>
                <w:szCs w:val="21"/>
              </w:rPr>
              <w:t>（请注明著作或论文名称、出版单位或发表刊物名称、期号、出版或发表时间、所有著、作者姓名以及作者排序等）</w:t>
            </w:r>
          </w:p>
          <w:p>
            <w:pPr>
              <w:snapToGrid w:val="0"/>
              <w:jc w:val="left"/>
              <w:rPr>
                <w:rFonts w:hint="eastAsia" w:ascii="仿宋_GB2312" w:hAnsi="仿宋"/>
                <w:bCs/>
                <w:sz w:val="21"/>
                <w:szCs w:val="21"/>
              </w:rPr>
            </w:pP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default" w:ascii="仿宋_GB2312" w:hAnsi="仿宋"/>
                <w:b/>
                <w:bCs w:val="0"/>
                <w:sz w:val="28"/>
                <w:szCs w:val="28"/>
                <w:lang w:val="en-US" w:eastAsia="zh-CN"/>
              </w:rPr>
            </w:pPr>
            <w:r>
              <w:rPr>
                <w:rFonts w:hint="eastAsia" w:ascii="仿宋_GB2312" w:hAnsi="仿宋"/>
                <w:b/>
                <w:bCs w:val="0"/>
                <w:sz w:val="28"/>
                <w:szCs w:val="28"/>
                <w:lang w:val="en-US" w:eastAsia="zh-CN"/>
              </w:rPr>
              <w:t>一、论文：</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1、《流水线上的爱情快餐——以在富士康郑州厂区的调研为例》，发表于《中国青年研究》2019年第7期，独著，CSSCI。</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2、《双系婚姻：对于苏南“并家”习俗的功能主义解释》，发表于《当代青年研究》2020 年第6期，独著，CSSCI扩展版。</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eastAsia" w:ascii="仿宋_GB2312" w:hAnsi="仿宋"/>
                <w:bCs/>
                <w:sz w:val="22"/>
                <w:szCs w:val="22"/>
                <w:lang w:val="en-US" w:eastAsia="zh-CN"/>
              </w:rPr>
            </w:pPr>
            <w:r>
              <w:rPr>
                <w:rFonts w:hint="eastAsia" w:ascii="仿宋_GB2312" w:hAnsi="仿宋"/>
                <w:bCs/>
                <w:sz w:val="22"/>
                <w:szCs w:val="22"/>
                <w:lang w:val="en-US" w:eastAsia="zh-CN"/>
              </w:rPr>
              <w:t>3、《河南省精准扶贫政策实践机制研究——以S县的调研为例》，收录于《河南蓝皮书·2018年河南社会形势分析与预测》，社会科学文献出版社2018年7月版，作者：宋丽娜，王东猛；第一作者。</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jc w:val="left"/>
              <w:textAlignment w:val="auto"/>
              <w:rPr>
                <w:rFonts w:hint="default" w:ascii="仿宋_GB2312" w:hAnsi="仿宋"/>
                <w:b/>
                <w:bCs w:val="0"/>
                <w:sz w:val="28"/>
                <w:szCs w:val="28"/>
                <w:lang w:val="en-US" w:eastAsia="zh-CN"/>
              </w:rPr>
            </w:pPr>
            <w:r>
              <w:rPr>
                <w:rFonts w:hint="eastAsia" w:ascii="仿宋_GB2312" w:hAnsi="仿宋"/>
                <w:b/>
                <w:bCs w:val="0"/>
                <w:sz w:val="28"/>
                <w:szCs w:val="28"/>
                <w:lang w:val="en-US" w:eastAsia="zh-CN"/>
              </w:rPr>
              <w:t>二、著作：</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1、《婚恋转型：新生代农民工的婚恋实践》，社会科学文献出版社2021年待版。独著</w:t>
            </w:r>
          </w:p>
          <w:p>
            <w:pPr>
              <w:keepNext w:val="0"/>
              <w:keepLines w:val="0"/>
              <w:pageBreakBefore w:val="0"/>
              <w:widowControl w:val="0"/>
              <w:kinsoku/>
              <w:wordWrap/>
              <w:overflowPunct/>
              <w:topLinePunct w:val="0"/>
              <w:autoSpaceDE/>
              <w:autoSpaceDN/>
              <w:bidi w:val="0"/>
              <w:adjustRightInd/>
              <w:snapToGrid w:val="0"/>
              <w:spacing w:line="360" w:lineRule="exact"/>
              <w:ind w:firstLine="440" w:firstLineChars="200"/>
              <w:jc w:val="left"/>
              <w:textAlignment w:val="auto"/>
              <w:rPr>
                <w:rFonts w:hint="default" w:ascii="仿宋_GB2312" w:hAnsi="仿宋"/>
                <w:bCs/>
                <w:sz w:val="22"/>
                <w:szCs w:val="22"/>
                <w:lang w:val="en-US" w:eastAsia="zh-CN"/>
              </w:rPr>
            </w:pPr>
            <w:r>
              <w:rPr>
                <w:rFonts w:hint="eastAsia" w:ascii="仿宋_GB2312" w:hAnsi="仿宋"/>
                <w:bCs/>
                <w:sz w:val="22"/>
                <w:szCs w:val="22"/>
                <w:lang w:val="en-US" w:eastAsia="zh-CN"/>
              </w:rPr>
              <w:t>2、《基层治理五论——对五个案例的讨论》，中国农业出版社2021年3月待版，独著。</w:t>
            </w:r>
          </w:p>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p>
        </w:tc>
      </w:tr>
    </w:tbl>
    <w:p>
      <w:pPr>
        <w:rPr>
          <w:rFonts w:hint="eastAsia" w:eastAsia="黑体"/>
        </w:rPr>
      </w:pPr>
    </w:p>
    <w:p>
      <w:pPr>
        <w:rPr>
          <w:rFonts w:hint="eastAsia" w:eastAsia="黑体"/>
        </w:rPr>
      </w:pPr>
      <w:r>
        <w:rPr>
          <w:rFonts w:hint="eastAsia" w:eastAsia="黑体"/>
        </w:rPr>
        <w:br w:type="page"/>
      </w:r>
    </w:p>
    <w:p>
      <w:pPr>
        <w:rPr>
          <w:rFonts w:ascii="黑体" w:eastAsia="黑体"/>
          <w:szCs w:val="20"/>
        </w:rPr>
      </w:pPr>
      <w:r>
        <w:rPr>
          <w:rFonts w:hint="eastAsia" w:eastAsia="黑体"/>
        </w:rPr>
        <w:t>四、</w:t>
      </w:r>
      <w:r>
        <w:rPr>
          <w:rFonts w:hint="eastAsia" w:ascii="黑体" w:eastAsia="黑体"/>
        </w:rPr>
        <w:t>资助项目决算表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sz w:val="24"/>
              </w:rPr>
            </w:pPr>
            <w:r>
              <w:rPr>
                <w:rFonts w:hint="eastAsia" w:ascii="仿宋_GB2312"/>
                <w:sz w:val="24"/>
              </w:rPr>
              <w:t>项目金额</w:t>
            </w:r>
          </w:p>
        </w:tc>
        <w:tc>
          <w:tcPr>
            <w:tcW w:w="6946" w:type="dxa"/>
            <w:tcBorders>
              <w:top w:val="single" w:color="auto" w:sz="4" w:space="0"/>
              <w:left w:val="single" w:color="auto" w:sz="4" w:space="0"/>
              <w:bottom w:val="single" w:color="auto" w:sz="4" w:space="0"/>
              <w:right w:val="single" w:color="auto" w:sz="4" w:space="0"/>
            </w:tcBorders>
            <w:vAlign w:val="center"/>
          </w:tcPr>
          <w:p>
            <w:pPr>
              <w:jc w:val="right"/>
              <w:rPr>
                <w:rFonts w:hint="eastAsia" w:ascii="仿宋_GB2312"/>
                <w:sz w:val="24"/>
              </w:rPr>
            </w:pPr>
            <w:r>
              <w:rPr>
                <w:rFonts w:hint="eastAsia" w:ascii="仿宋_GB2312"/>
                <w:sz w:val="24"/>
                <w:lang w:val="en-US" w:eastAsia="zh-CN"/>
              </w:rPr>
              <w:t>3</w:t>
            </w:r>
            <w:r>
              <w:rPr>
                <w:rFonts w:hint="eastAsia" w:ascii="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jc w:val="center"/>
        </w:trPr>
        <w:tc>
          <w:tcPr>
            <w:tcW w:w="8958" w:type="dxa"/>
            <w:gridSpan w:val="2"/>
            <w:tcBorders>
              <w:top w:val="single" w:color="auto" w:sz="4" w:space="0"/>
              <w:left w:val="single" w:color="auto" w:sz="4" w:space="0"/>
              <w:bottom w:val="single" w:color="auto" w:sz="4" w:space="0"/>
              <w:right w:val="single" w:color="auto" w:sz="4" w:space="0"/>
            </w:tcBorders>
          </w:tcPr>
          <w:p>
            <w:pPr>
              <w:jc w:val="left"/>
              <w:rPr>
                <w:rFonts w:hint="eastAsia" w:ascii="仿宋_GB2312" w:hAnsi="仿宋"/>
                <w:bCs/>
                <w:sz w:val="21"/>
                <w:szCs w:val="21"/>
              </w:rPr>
            </w:pPr>
            <w:r>
              <w:rPr>
                <w:rFonts w:hint="eastAsia" w:ascii="仿宋_GB2312" w:hAnsi="仿宋"/>
                <w:bCs/>
                <w:sz w:val="21"/>
                <w:szCs w:val="21"/>
              </w:rPr>
              <w:t>列出经费使用方向，包括购实实验仪器设备、耗材、图书资料、学术交流等费用。</w:t>
            </w:r>
          </w:p>
        </w:tc>
      </w:tr>
    </w:tbl>
    <w:p>
      <w:pPr>
        <w:rPr>
          <w:rFonts w:hint="eastAsia" w:eastAsia="黑体"/>
          <w:szCs w:val="20"/>
        </w:rPr>
      </w:pPr>
      <w:r>
        <w:rPr>
          <w:rFonts w:hint="eastAsia" w:eastAsia="黑体"/>
        </w:rPr>
        <w:t>五、考核结论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0" w:hRule="atLeast"/>
          <w:jc w:val="center"/>
        </w:trPr>
        <w:tc>
          <w:tcPr>
            <w:tcW w:w="8941" w:type="dxa"/>
            <w:tcBorders>
              <w:top w:val="single" w:color="auto" w:sz="4" w:space="0"/>
              <w:left w:val="single" w:color="auto" w:sz="4" w:space="0"/>
              <w:bottom w:val="single" w:color="auto" w:sz="4" w:space="0"/>
              <w:right w:val="single" w:color="auto" w:sz="4" w:space="0"/>
            </w:tcBorders>
          </w:tcPr>
          <w:p>
            <w:pPr>
              <w:snapToGrid w:val="0"/>
              <w:rPr>
                <w:sz w:val="21"/>
              </w:rPr>
            </w:pPr>
            <w:r>
              <w:rPr>
                <w:rFonts w:hint="eastAsia"/>
                <w:sz w:val="21"/>
              </w:rPr>
              <w:t>主要内容包括：项目完成情况，在教学水平、科研能力、团队建设、社会服务等方面完成培养计划情况，今后发展意见建议和努力方向。考核等次意见。</w:t>
            </w:r>
          </w:p>
          <w:p>
            <w:pPr>
              <w:rPr>
                <w:sz w:val="28"/>
              </w:rPr>
            </w:pPr>
          </w:p>
          <w:p>
            <w:pPr>
              <w:rPr>
                <w:sz w:val="28"/>
              </w:rPr>
            </w:pPr>
          </w:p>
          <w:p>
            <w:pPr>
              <w:rPr>
                <w:rFonts w:hint="eastAsia"/>
                <w:sz w:val="28"/>
              </w:rPr>
            </w:pPr>
          </w:p>
          <w:p>
            <w:pPr>
              <w:rPr>
                <w:rFonts w:hint="eastAsia"/>
                <w:sz w:val="28"/>
              </w:rPr>
            </w:pPr>
          </w:p>
          <w:p>
            <w:pPr>
              <w:rPr>
                <w:rFonts w:hint="eastAsia"/>
                <w:sz w:val="28"/>
              </w:rPr>
            </w:pPr>
          </w:p>
          <w:p>
            <w:pPr>
              <w:rPr>
                <w:sz w:val="24"/>
              </w:rPr>
            </w:pPr>
            <w:r>
              <w:rPr>
                <w:rFonts w:hint="eastAsia"/>
                <w:sz w:val="28"/>
              </w:rPr>
              <w:t>　　　　　　　　　　　　　</w:t>
            </w:r>
            <w:r>
              <w:rPr>
                <w:rFonts w:hint="eastAsia"/>
                <w:sz w:val="24"/>
              </w:rPr>
              <w:t>考核专家组长：</w:t>
            </w:r>
          </w:p>
          <w:p>
            <w:pPr>
              <w:rPr>
                <w:sz w:val="24"/>
              </w:rPr>
            </w:pPr>
          </w:p>
          <w:p>
            <w:pPr>
              <w:rPr>
                <w:sz w:val="28"/>
              </w:rPr>
            </w:pPr>
            <w:r>
              <w:rPr>
                <w:rFonts w:hint="eastAsia"/>
                <w:sz w:val="28"/>
              </w:rPr>
              <w:t>　　　　　　　　　　　　　　　　　　　　年　　月　　日</w:t>
            </w:r>
          </w:p>
        </w:tc>
      </w:tr>
    </w:tbl>
    <w:p>
      <w:pPr>
        <w:rPr>
          <w:rFonts w:ascii="黑体" w:eastAsia="黑体"/>
          <w:szCs w:val="20"/>
        </w:rPr>
      </w:pPr>
      <w:r>
        <w:br w:type="page"/>
      </w:r>
      <w:r>
        <w:rPr>
          <w:rFonts w:hint="eastAsia" w:ascii="黑体" w:eastAsia="黑体"/>
        </w:rPr>
        <w:t>六、鉴定专家名单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417"/>
        <w:gridCol w:w="2725"/>
        <w:gridCol w:w="212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sz w:val="28"/>
              </w:rPr>
            </w:pPr>
            <w:r>
              <w:rPr>
                <w:rFonts w:hint="eastAsia" w:ascii="黑体" w:hAnsi="仿宋" w:eastAsia="黑体"/>
                <w:sz w:val="28"/>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sz w:val="28"/>
              </w:rPr>
            </w:pPr>
            <w:r>
              <w:rPr>
                <w:rFonts w:hint="eastAsia" w:ascii="黑体" w:hAnsi="仿宋" w:eastAsia="黑体"/>
                <w:sz w:val="28"/>
              </w:rPr>
              <w:t>职称</w:t>
            </w:r>
          </w:p>
        </w:tc>
        <w:tc>
          <w:tcPr>
            <w:tcW w:w="27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sz w:val="28"/>
              </w:rPr>
            </w:pPr>
            <w:r>
              <w:rPr>
                <w:rFonts w:hint="eastAsia" w:ascii="黑体" w:hAnsi="仿宋" w:eastAsia="黑体"/>
                <w:sz w:val="28"/>
              </w:rPr>
              <w:t>学科专业领域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sz w:val="28"/>
              </w:rPr>
            </w:pPr>
            <w:r>
              <w:rPr>
                <w:rFonts w:hint="eastAsia" w:ascii="黑体" w:hAnsi="仿宋" w:eastAsia="黑体"/>
                <w:sz w:val="28"/>
              </w:rPr>
              <w:t>单位</w:t>
            </w:r>
          </w:p>
        </w:tc>
        <w:tc>
          <w:tcPr>
            <w:tcW w:w="15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仿宋" w:eastAsia="黑体"/>
                <w:sz w:val="28"/>
              </w:rPr>
            </w:pPr>
            <w:r>
              <w:rPr>
                <w:rFonts w:hint="eastAsia" w:ascii="黑体" w:hAnsi="仿宋" w:eastAsia="黑体"/>
                <w:sz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9"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417"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725"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sz w:val="21"/>
              </w:rPr>
            </w:pPr>
          </w:p>
        </w:tc>
        <w:tc>
          <w:tcPr>
            <w:tcW w:w="1585" w:type="dxa"/>
            <w:tcBorders>
              <w:top w:val="single" w:color="auto" w:sz="4" w:space="0"/>
              <w:left w:val="single" w:color="auto" w:sz="4" w:space="0"/>
              <w:bottom w:val="single" w:color="auto" w:sz="4" w:space="0"/>
              <w:right w:val="single" w:color="auto" w:sz="4" w:space="0"/>
            </w:tcBorders>
          </w:tcPr>
          <w:p>
            <w:pPr>
              <w:rPr>
                <w:sz w:val="21"/>
              </w:rPr>
            </w:pPr>
          </w:p>
        </w:tc>
      </w:tr>
    </w:tbl>
    <w:p>
      <w:pPr>
        <w:rPr>
          <w:rFonts w:hint="eastAsia" w:ascii="黑体" w:eastAsia="黑体"/>
          <w:szCs w:val="20"/>
        </w:rPr>
      </w:pPr>
      <w:r>
        <w:rPr>
          <w:rFonts w:hint="eastAsia" w:eastAsia="黑体"/>
        </w:rPr>
        <w:t>七、</w:t>
      </w:r>
      <w:r>
        <w:rPr>
          <w:rFonts w:hint="eastAsia" w:ascii="黑体" w:eastAsia="黑体"/>
        </w:rPr>
        <w:t>学校意见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8955" w:type="dxa"/>
            <w:tcBorders>
              <w:top w:val="single" w:color="auto" w:sz="4" w:space="0"/>
              <w:left w:val="single" w:color="auto" w:sz="4" w:space="0"/>
              <w:bottom w:val="single" w:color="auto" w:sz="4" w:space="0"/>
              <w:right w:val="single" w:color="auto" w:sz="4" w:space="0"/>
            </w:tcBorders>
            <w:vAlign w:val="center"/>
          </w:tcPr>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sz w:val="24"/>
              </w:rPr>
            </w:pPr>
          </w:p>
          <w:p>
            <w:pPr>
              <w:rPr>
                <w:sz w:val="24"/>
              </w:rPr>
            </w:pPr>
            <w:r>
              <w:rPr>
                <w:sz w:val="24"/>
              </w:rPr>
              <w:t xml:space="preserve">                                  </w:t>
            </w:r>
            <w:r>
              <w:rPr>
                <w:rFonts w:hint="eastAsia"/>
                <w:sz w:val="24"/>
              </w:rPr>
              <w:t>校长签名：</w:t>
            </w:r>
          </w:p>
          <w:p>
            <w:pPr>
              <w:rPr>
                <w:sz w:val="24"/>
              </w:rPr>
            </w:pPr>
            <w:r>
              <w:rPr>
                <w:sz w:val="24"/>
              </w:rPr>
              <w:t xml:space="preserve">         </w:t>
            </w:r>
            <w:r>
              <w:rPr>
                <w:rFonts w:hint="eastAsia"/>
                <w:sz w:val="24"/>
              </w:rPr>
              <w:t>　　　　　　　　　　</w:t>
            </w:r>
            <w:r>
              <w:rPr>
                <w:sz w:val="24"/>
              </w:rPr>
              <w:t xml:space="preserve">    </w:t>
            </w:r>
            <w:r>
              <w:rPr>
                <w:rFonts w:hint="eastAsia"/>
                <w:sz w:val="24"/>
              </w:rPr>
              <w:t xml:space="preserve"> 公　　章</w:t>
            </w:r>
          </w:p>
          <w:p>
            <w:pP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00"/>
    <w:rsid w:val="00307591"/>
    <w:rsid w:val="00473D8A"/>
    <w:rsid w:val="005A5002"/>
    <w:rsid w:val="006675A0"/>
    <w:rsid w:val="00F72600"/>
    <w:rsid w:val="027559D2"/>
    <w:rsid w:val="02E91A32"/>
    <w:rsid w:val="034253EE"/>
    <w:rsid w:val="044E74E4"/>
    <w:rsid w:val="064C40F9"/>
    <w:rsid w:val="066357E9"/>
    <w:rsid w:val="07221B8E"/>
    <w:rsid w:val="07993904"/>
    <w:rsid w:val="07E6256D"/>
    <w:rsid w:val="0A0A645B"/>
    <w:rsid w:val="0C8C0C15"/>
    <w:rsid w:val="0E8E26A5"/>
    <w:rsid w:val="0EBB4160"/>
    <w:rsid w:val="0FEA27A8"/>
    <w:rsid w:val="106B196C"/>
    <w:rsid w:val="10C816E1"/>
    <w:rsid w:val="11DA2098"/>
    <w:rsid w:val="11DD0695"/>
    <w:rsid w:val="11DD7845"/>
    <w:rsid w:val="123874DB"/>
    <w:rsid w:val="124E209E"/>
    <w:rsid w:val="14563DF5"/>
    <w:rsid w:val="155B58BD"/>
    <w:rsid w:val="156F3941"/>
    <w:rsid w:val="15B1185C"/>
    <w:rsid w:val="1BDB68F2"/>
    <w:rsid w:val="217C4347"/>
    <w:rsid w:val="26003F7E"/>
    <w:rsid w:val="29172BF0"/>
    <w:rsid w:val="2BE05742"/>
    <w:rsid w:val="2D6C67E7"/>
    <w:rsid w:val="2DB66446"/>
    <w:rsid w:val="2E0A3C54"/>
    <w:rsid w:val="2ED55C7F"/>
    <w:rsid w:val="2F3A79C1"/>
    <w:rsid w:val="30521AF3"/>
    <w:rsid w:val="32355294"/>
    <w:rsid w:val="33F91D60"/>
    <w:rsid w:val="34AE423D"/>
    <w:rsid w:val="36E95E32"/>
    <w:rsid w:val="376651C7"/>
    <w:rsid w:val="37BD2B8C"/>
    <w:rsid w:val="38CA21F5"/>
    <w:rsid w:val="3A402523"/>
    <w:rsid w:val="3AC2486E"/>
    <w:rsid w:val="3C1B4069"/>
    <w:rsid w:val="3CC07BAA"/>
    <w:rsid w:val="3D8B1326"/>
    <w:rsid w:val="3E0F0DF9"/>
    <w:rsid w:val="3EB42114"/>
    <w:rsid w:val="3F8910BA"/>
    <w:rsid w:val="4154522A"/>
    <w:rsid w:val="422D55F1"/>
    <w:rsid w:val="43D30DA5"/>
    <w:rsid w:val="4538288C"/>
    <w:rsid w:val="4C0D6279"/>
    <w:rsid w:val="4C417880"/>
    <w:rsid w:val="4DC03719"/>
    <w:rsid w:val="4E0E0E86"/>
    <w:rsid w:val="4E584018"/>
    <w:rsid w:val="4EF2047B"/>
    <w:rsid w:val="4FA6171A"/>
    <w:rsid w:val="4FF013AB"/>
    <w:rsid w:val="526E69D5"/>
    <w:rsid w:val="528C429B"/>
    <w:rsid w:val="52C273BE"/>
    <w:rsid w:val="53622D5F"/>
    <w:rsid w:val="53AB3C8D"/>
    <w:rsid w:val="54193673"/>
    <w:rsid w:val="548A724C"/>
    <w:rsid w:val="548B2B3A"/>
    <w:rsid w:val="555551BB"/>
    <w:rsid w:val="56E64C5F"/>
    <w:rsid w:val="585D7F9D"/>
    <w:rsid w:val="593651A8"/>
    <w:rsid w:val="59FA4019"/>
    <w:rsid w:val="5A11698D"/>
    <w:rsid w:val="5B3E02B8"/>
    <w:rsid w:val="5D845AC1"/>
    <w:rsid w:val="5E7E7F71"/>
    <w:rsid w:val="5F8832AB"/>
    <w:rsid w:val="6034250A"/>
    <w:rsid w:val="60624F15"/>
    <w:rsid w:val="632308E4"/>
    <w:rsid w:val="63286EA1"/>
    <w:rsid w:val="64161319"/>
    <w:rsid w:val="64294539"/>
    <w:rsid w:val="65500696"/>
    <w:rsid w:val="66805518"/>
    <w:rsid w:val="67162E8E"/>
    <w:rsid w:val="678F15E8"/>
    <w:rsid w:val="6A8626E2"/>
    <w:rsid w:val="6B3177AC"/>
    <w:rsid w:val="6C0A0BDC"/>
    <w:rsid w:val="6D4C3D99"/>
    <w:rsid w:val="6D7D7057"/>
    <w:rsid w:val="6D8545F0"/>
    <w:rsid w:val="6D9B7C64"/>
    <w:rsid w:val="6D9C1E35"/>
    <w:rsid w:val="6EF946D6"/>
    <w:rsid w:val="6FA75DB0"/>
    <w:rsid w:val="7008523B"/>
    <w:rsid w:val="70FB0A06"/>
    <w:rsid w:val="71133D1A"/>
    <w:rsid w:val="7142558B"/>
    <w:rsid w:val="721B554E"/>
    <w:rsid w:val="73CB1552"/>
    <w:rsid w:val="746E6E53"/>
    <w:rsid w:val="75816456"/>
    <w:rsid w:val="76D653F9"/>
    <w:rsid w:val="79390387"/>
    <w:rsid w:val="794F619B"/>
    <w:rsid w:val="7AA9759D"/>
    <w:rsid w:val="7AFB72C3"/>
    <w:rsid w:val="7C492B00"/>
    <w:rsid w:val="7C5B0005"/>
    <w:rsid w:val="7CA0736D"/>
    <w:rsid w:val="7D4F1E9F"/>
    <w:rsid w:val="7D69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190</Words>
  <Characters>1085</Characters>
  <Lines>9</Lines>
  <Paragraphs>2</Paragraphs>
  <TotalTime>49</TotalTime>
  <ScaleCrop>false</ScaleCrop>
  <LinksUpToDate>false</LinksUpToDate>
  <CharactersWithSpaces>1273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2020-11-25T08:16:00Z</dcterms:created>
  <dc:creator>xtzj</dc:creator>
  <cp:lastModifiedBy>宋丽娜</cp:lastModifiedBy>
  <dcterms:modified xsi:type="dcterms:W3CDTF">2020-11-30T00:09:23Z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