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00D" w:rsidRDefault="008A000D" w:rsidP="008A000D">
      <w:pPr>
        <w:snapToGrid w:val="0"/>
        <w:jc w:val="center"/>
        <w:rPr>
          <w:rFonts w:ascii="方正小标宋简体" w:eastAsia="方正小标宋简体" w:hAnsi="黑体" w:cs="宋体" w:hint="eastAsia"/>
          <w:spacing w:val="-10"/>
          <w:kern w:val="0"/>
          <w:sz w:val="44"/>
          <w:szCs w:val="44"/>
        </w:rPr>
      </w:pPr>
      <w:r>
        <w:rPr>
          <w:rFonts w:ascii="方正小标宋简体" w:eastAsia="方正小标宋简体" w:hAnsi="黑体" w:cs="宋体" w:hint="eastAsia"/>
          <w:spacing w:val="-10"/>
          <w:kern w:val="0"/>
          <w:sz w:val="44"/>
          <w:szCs w:val="44"/>
        </w:rPr>
        <w:t>关于做好高等学校教师资格考试面试及认定等</w:t>
      </w:r>
    </w:p>
    <w:p w:rsidR="008A000D" w:rsidRDefault="008A000D" w:rsidP="008A000D">
      <w:pPr>
        <w:snapToGrid w:val="0"/>
        <w:jc w:val="center"/>
        <w:rPr>
          <w:rFonts w:ascii="方正小标宋简体" w:eastAsia="方正小标宋简体" w:hAnsi="黑体" w:cs="宋体" w:hint="eastAsia"/>
          <w:kern w:val="0"/>
          <w:sz w:val="44"/>
          <w:szCs w:val="44"/>
        </w:rPr>
      </w:pPr>
      <w:r>
        <w:rPr>
          <w:rFonts w:ascii="方正小标宋简体" w:eastAsia="方正小标宋简体" w:hAnsi="黑体" w:cs="宋体" w:hint="eastAsia"/>
          <w:kern w:val="0"/>
          <w:sz w:val="44"/>
          <w:szCs w:val="44"/>
        </w:rPr>
        <w:t>工作的通知</w:t>
      </w:r>
    </w:p>
    <w:p w:rsidR="008A000D" w:rsidRDefault="008A000D" w:rsidP="008A000D">
      <w:pPr>
        <w:pStyle w:val="a3"/>
        <w:widowControl w:val="0"/>
        <w:spacing w:before="0" w:beforeAutospacing="0" w:after="0" w:afterAutospacing="0"/>
        <w:rPr>
          <w:rFonts w:ascii="仿宋_GB2312" w:hAnsi="仿宋" w:hint="eastAsia"/>
          <w:color w:val="auto"/>
          <w:sz w:val="30"/>
        </w:rPr>
      </w:pPr>
    </w:p>
    <w:p w:rsidR="008A000D" w:rsidRDefault="008A000D" w:rsidP="008A000D">
      <w:pPr>
        <w:pStyle w:val="a3"/>
        <w:widowControl w:val="0"/>
        <w:spacing w:before="0" w:beforeAutospacing="0" w:after="0" w:afterAutospacing="0"/>
        <w:rPr>
          <w:rFonts w:ascii="仿宋_GB2312" w:hAnsi="仿宋" w:hint="eastAsia"/>
          <w:color w:val="auto"/>
          <w:sz w:val="30"/>
        </w:rPr>
      </w:pPr>
      <w:r>
        <w:rPr>
          <w:rFonts w:ascii="仿宋_GB2312" w:hAnsi="仿宋" w:hint="eastAsia"/>
          <w:color w:val="auto"/>
          <w:sz w:val="30"/>
        </w:rPr>
        <w:t>各学院</w:t>
      </w:r>
      <w:r>
        <w:rPr>
          <w:rFonts w:ascii="仿宋_GB2312" w:hAnsi="仿宋" w:hint="eastAsia"/>
          <w:color w:val="auto"/>
          <w:sz w:val="30"/>
        </w:rPr>
        <w:t>：</w:t>
      </w:r>
    </w:p>
    <w:p w:rsidR="008A000D" w:rsidRDefault="008A000D" w:rsidP="008A000D">
      <w:pPr>
        <w:pStyle w:val="a3"/>
        <w:ind w:firstLineChars="200" w:firstLine="620"/>
        <w:rPr>
          <w:rFonts w:ascii="仿宋_GB2312" w:hAnsi="仿宋" w:hint="eastAsia"/>
          <w:color w:val="auto"/>
          <w:sz w:val="30"/>
        </w:rPr>
      </w:pPr>
      <w:r>
        <w:rPr>
          <w:rFonts w:ascii="仿宋_GB2312" w:hAnsi="仿宋" w:hint="eastAsia"/>
          <w:color w:val="auto"/>
          <w:sz w:val="30"/>
        </w:rPr>
        <w:t>根据</w:t>
      </w:r>
      <w:r>
        <w:rPr>
          <w:rFonts w:ascii="仿宋_GB2312" w:hAnsi="仿宋" w:hint="eastAsia"/>
          <w:color w:val="auto"/>
          <w:sz w:val="30"/>
        </w:rPr>
        <w:t>《</w:t>
      </w:r>
      <w:r w:rsidRPr="008A000D">
        <w:rPr>
          <w:rFonts w:ascii="仿宋_GB2312" w:hAnsi="仿宋" w:hint="eastAsia"/>
          <w:color w:val="auto"/>
          <w:sz w:val="30"/>
        </w:rPr>
        <w:t>河南省教育厅办公室关于做好高等学校教师资格考试面试及认定等工作的通知</w:t>
      </w:r>
      <w:r>
        <w:rPr>
          <w:rFonts w:ascii="仿宋_GB2312" w:hAnsi="仿宋" w:hint="eastAsia"/>
          <w:color w:val="auto"/>
          <w:sz w:val="30"/>
        </w:rPr>
        <w:t>》（</w:t>
      </w:r>
      <w:r w:rsidRPr="008A000D">
        <w:rPr>
          <w:rFonts w:ascii="仿宋_GB2312" w:hAnsi="仿宋" w:hint="eastAsia"/>
          <w:color w:val="auto"/>
          <w:sz w:val="30"/>
        </w:rPr>
        <w:t>教办人〔2019〕217号</w:t>
      </w:r>
      <w:r>
        <w:rPr>
          <w:rFonts w:ascii="仿宋_GB2312" w:hAnsi="仿宋" w:hint="eastAsia"/>
          <w:color w:val="auto"/>
          <w:sz w:val="30"/>
        </w:rPr>
        <w:t>）</w:t>
      </w:r>
      <w:r>
        <w:rPr>
          <w:rFonts w:ascii="仿宋_GB2312" w:hAnsi="仿宋" w:hint="eastAsia"/>
          <w:color w:val="auto"/>
          <w:sz w:val="30"/>
        </w:rPr>
        <w:t>，现将2018年</w:t>
      </w:r>
      <w:r w:rsidR="000E1D95">
        <w:rPr>
          <w:rFonts w:ascii="仿宋_GB2312" w:hAnsi="仿宋" w:hint="eastAsia"/>
          <w:color w:val="auto"/>
          <w:sz w:val="30"/>
        </w:rPr>
        <w:t>上、</w:t>
      </w:r>
      <w:r>
        <w:rPr>
          <w:rFonts w:ascii="仿宋_GB2312" w:hAnsi="仿宋" w:hint="eastAsia"/>
          <w:color w:val="auto"/>
          <w:sz w:val="30"/>
        </w:rPr>
        <w:t>下半年和2019年上半年高等学校教师资格面试及认定等工作的有关事宜通知如下：</w:t>
      </w:r>
    </w:p>
    <w:p w:rsidR="008A000D" w:rsidRDefault="008A000D" w:rsidP="008A000D">
      <w:pPr>
        <w:tabs>
          <w:tab w:val="left" w:pos="1240"/>
        </w:tabs>
        <w:ind w:firstLineChars="200" w:firstLine="620"/>
        <w:rPr>
          <w:rFonts w:ascii="黑体" w:eastAsia="黑体" w:hAnsi="黑体" w:hint="eastAsia"/>
        </w:rPr>
      </w:pPr>
      <w:r>
        <w:rPr>
          <w:rFonts w:ascii="黑体" w:eastAsia="黑体" w:hAnsi="黑体" w:hint="eastAsia"/>
        </w:rPr>
        <w:t>一、人员范围</w:t>
      </w:r>
    </w:p>
    <w:p w:rsidR="008A000D" w:rsidRDefault="008A000D" w:rsidP="008A000D">
      <w:pPr>
        <w:tabs>
          <w:tab w:val="left" w:pos="1240"/>
        </w:tabs>
        <w:ind w:firstLineChars="200" w:firstLine="620"/>
        <w:rPr>
          <w:rFonts w:ascii="仿宋_GB2312" w:hAnsi="仿宋" w:hint="eastAsia"/>
        </w:rPr>
      </w:pPr>
      <w:r>
        <w:rPr>
          <w:rFonts w:ascii="仿宋_GB2312" w:hAnsi="仿宋" w:hint="eastAsia"/>
        </w:rPr>
        <w:t>1.面试人员范围：</w:t>
      </w:r>
      <w:r>
        <w:rPr>
          <w:rFonts w:ascii="仿宋_GB2312" w:hAnsi="仿宋" w:hint="eastAsia"/>
        </w:rPr>
        <w:t>2</w:t>
      </w:r>
      <w:r>
        <w:rPr>
          <w:rFonts w:ascii="仿宋_GB2312" w:hAnsi="仿宋"/>
        </w:rPr>
        <w:t>018</w:t>
      </w:r>
      <w:r>
        <w:rPr>
          <w:rFonts w:ascii="仿宋_GB2312" w:hAnsi="仿宋" w:hint="eastAsia"/>
        </w:rPr>
        <w:t>年上半年</w:t>
      </w:r>
      <w:r>
        <w:rPr>
          <w:rFonts w:ascii="仿宋_GB2312" w:hAnsi="仿宋"/>
        </w:rPr>
        <w:t>参加笔试，面试未通过</w:t>
      </w:r>
      <w:r>
        <w:rPr>
          <w:rFonts w:ascii="仿宋_GB2312" w:hAnsi="仿宋" w:hint="eastAsia"/>
        </w:rPr>
        <w:t>人员，2</w:t>
      </w:r>
      <w:r>
        <w:rPr>
          <w:rFonts w:ascii="仿宋_GB2312" w:hAnsi="仿宋"/>
        </w:rPr>
        <w:t>018</w:t>
      </w:r>
      <w:r>
        <w:rPr>
          <w:rFonts w:ascii="仿宋_GB2312" w:hAnsi="仿宋" w:hint="eastAsia"/>
        </w:rPr>
        <w:t>年下半年和2</w:t>
      </w:r>
      <w:r>
        <w:rPr>
          <w:rFonts w:ascii="仿宋_GB2312" w:hAnsi="仿宋" w:hint="eastAsia"/>
        </w:rPr>
        <w:t>019年上半年河南省高校教师资格笔试合格人员。</w:t>
      </w:r>
    </w:p>
    <w:p w:rsidR="008A000D" w:rsidRDefault="008A000D" w:rsidP="008A000D">
      <w:pPr>
        <w:shd w:val="clear" w:color="auto" w:fill="FFFFFF"/>
        <w:spacing w:line="375" w:lineRule="atLeast"/>
        <w:ind w:firstLineChars="200" w:firstLine="620"/>
        <w:jc w:val="left"/>
        <w:rPr>
          <w:rFonts w:ascii="仿宋_GB2312" w:hAnsi="黑体" w:hint="eastAsia"/>
        </w:rPr>
      </w:pPr>
      <w:r>
        <w:rPr>
          <w:rFonts w:ascii="仿宋_GB2312" w:hAnsi="仿宋" w:hint="eastAsia"/>
        </w:rPr>
        <w:t>2.直接认定人员范围：2015年（含）前入学的全日制</w:t>
      </w:r>
      <w:proofErr w:type="gramStart"/>
      <w:r>
        <w:rPr>
          <w:rFonts w:ascii="仿宋_GB2312" w:hAnsi="仿宋" w:hint="eastAsia"/>
        </w:rPr>
        <w:t>普招类师范</w:t>
      </w:r>
      <w:proofErr w:type="gramEnd"/>
      <w:r>
        <w:rPr>
          <w:rFonts w:ascii="仿宋_GB2312" w:hAnsi="仿宋" w:hint="eastAsia"/>
        </w:rPr>
        <w:t>生和全日制教育硕士;具有博士学位人员;具有高校教师系列副教授以上职称人员。以上人员申请任教学科必须与所学专业一致。</w:t>
      </w:r>
    </w:p>
    <w:p w:rsidR="008A000D" w:rsidRDefault="008A000D" w:rsidP="008A000D">
      <w:pPr>
        <w:tabs>
          <w:tab w:val="left" w:pos="1240"/>
        </w:tabs>
        <w:ind w:firstLineChars="200" w:firstLine="620"/>
        <w:rPr>
          <w:rFonts w:ascii="黑体" w:eastAsia="黑体" w:hAnsi="黑体" w:hint="eastAsia"/>
        </w:rPr>
      </w:pPr>
      <w:r>
        <w:rPr>
          <w:rFonts w:ascii="黑体" w:eastAsia="黑体" w:hAnsi="黑体" w:hint="eastAsia"/>
        </w:rPr>
        <w:t>二、时间安排</w:t>
      </w:r>
    </w:p>
    <w:p w:rsidR="008A000D" w:rsidRDefault="008A000D" w:rsidP="008A000D">
      <w:pPr>
        <w:tabs>
          <w:tab w:val="left" w:pos="1240"/>
        </w:tabs>
        <w:ind w:firstLineChars="200" w:firstLine="620"/>
        <w:rPr>
          <w:rStyle w:val="a4"/>
          <w:rFonts w:ascii="楷体_GB2312" w:eastAsia="楷体_GB2312" w:hint="eastAsia"/>
          <w:b w:val="0"/>
          <w:kern w:val="0"/>
        </w:rPr>
      </w:pPr>
      <w:r>
        <w:rPr>
          <w:rStyle w:val="a4"/>
          <w:rFonts w:ascii="楷体_GB2312" w:eastAsia="楷体_GB2312" w:hint="eastAsia"/>
          <w:b w:val="0"/>
          <w:kern w:val="0"/>
        </w:rPr>
        <w:t>（一）网上申报时间</w:t>
      </w:r>
    </w:p>
    <w:p w:rsidR="008A000D" w:rsidRDefault="008A000D" w:rsidP="008A000D">
      <w:pPr>
        <w:shd w:val="clear" w:color="auto" w:fill="FFFFFF"/>
        <w:spacing w:line="375" w:lineRule="atLeast"/>
        <w:ind w:firstLineChars="200" w:firstLine="620"/>
        <w:jc w:val="left"/>
        <w:rPr>
          <w:rFonts w:ascii="仿宋_GB2312" w:hAnsi="仿宋" w:hint="eastAsia"/>
          <w:spacing w:val="-4"/>
        </w:rPr>
      </w:pPr>
      <w:r>
        <w:rPr>
          <w:rFonts w:ascii="仿宋_GB2312" w:hAnsi="仿宋" w:hint="eastAsia"/>
        </w:rPr>
        <w:t>2</w:t>
      </w:r>
      <w:r>
        <w:rPr>
          <w:rFonts w:ascii="仿宋_GB2312" w:hAnsi="仿宋" w:hint="eastAsia"/>
          <w:spacing w:val="-4"/>
        </w:rPr>
        <w:t>019年4月16日-5月17日，登录中国教师资格网（www.jszg.edu.cn）申报，网站开放时间为每天的7：00-24：</w:t>
      </w:r>
      <w:r>
        <w:rPr>
          <w:rFonts w:ascii="仿宋_GB2312" w:hAnsi="仿宋" w:hint="eastAsia"/>
          <w:spacing w:val="-4"/>
        </w:rPr>
        <w:lastRenderedPageBreak/>
        <w:t>00。</w:t>
      </w:r>
    </w:p>
    <w:p w:rsidR="008A000D" w:rsidRDefault="008A000D" w:rsidP="008A000D">
      <w:pPr>
        <w:tabs>
          <w:tab w:val="left" w:pos="1240"/>
        </w:tabs>
        <w:ind w:firstLineChars="200" w:firstLine="620"/>
        <w:rPr>
          <w:rStyle w:val="a4"/>
          <w:rFonts w:ascii="楷体_GB2312" w:eastAsia="楷体_GB2312" w:hint="eastAsia"/>
          <w:b w:val="0"/>
          <w:bCs w:val="0"/>
        </w:rPr>
      </w:pPr>
      <w:r>
        <w:rPr>
          <w:rStyle w:val="a4"/>
          <w:rFonts w:ascii="楷体_GB2312" w:eastAsia="楷体_GB2312" w:hint="eastAsia"/>
          <w:b w:val="0"/>
          <w:bCs w:val="0"/>
        </w:rPr>
        <w:t>（二）体检时间</w:t>
      </w:r>
      <w:r w:rsidR="000305D2">
        <w:rPr>
          <w:rStyle w:val="a4"/>
          <w:rFonts w:ascii="楷体_GB2312" w:eastAsia="楷体_GB2312" w:hint="eastAsia"/>
          <w:b w:val="0"/>
          <w:bCs w:val="0"/>
        </w:rPr>
        <w:t>及地点</w:t>
      </w:r>
    </w:p>
    <w:p w:rsidR="000305D2" w:rsidRDefault="008A000D" w:rsidP="008A000D">
      <w:pPr>
        <w:shd w:val="clear" w:color="auto" w:fill="FFFFFF"/>
        <w:spacing w:line="375" w:lineRule="atLeast"/>
        <w:ind w:firstLineChars="200" w:firstLine="620"/>
        <w:jc w:val="left"/>
        <w:rPr>
          <w:rFonts w:ascii="仿宋_GB2312" w:hAnsi="仿宋"/>
        </w:rPr>
      </w:pPr>
      <w:r>
        <w:rPr>
          <w:rFonts w:ascii="仿宋_GB2312" w:hAnsi="仿宋" w:hint="eastAsia"/>
        </w:rPr>
        <w:t>体检时间</w:t>
      </w:r>
      <w:r w:rsidR="000305D2">
        <w:rPr>
          <w:rFonts w:ascii="仿宋_GB2312" w:hAnsi="仿宋" w:hint="eastAsia"/>
        </w:rPr>
        <w:t>：</w:t>
      </w:r>
      <w:r>
        <w:rPr>
          <w:rFonts w:ascii="仿宋_GB2312" w:hAnsi="仿宋" w:hint="eastAsia"/>
        </w:rPr>
        <w:t>从文件发布之日起至5月17日。</w:t>
      </w:r>
    </w:p>
    <w:p w:rsidR="000305D2" w:rsidRDefault="000305D2" w:rsidP="008A000D">
      <w:pPr>
        <w:shd w:val="clear" w:color="auto" w:fill="FFFFFF"/>
        <w:spacing w:line="375" w:lineRule="atLeast"/>
        <w:ind w:firstLineChars="200" w:firstLine="620"/>
        <w:jc w:val="left"/>
        <w:rPr>
          <w:rFonts w:ascii="仿宋_GB2312" w:hAnsi="仿宋"/>
        </w:rPr>
      </w:pPr>
      <w:r>
        <w:rPr>
          <w:rFonts w:ascii="仿宋_GB2312" w:hAnsi="仿宋" w:hint="eastAsia"/>
        </w:rPr>
        <w:t>体检地点：</w:t>
      </w:r>
      <w:r w:rsidRPr="000305D2">
        <w:rPr>
          <w:rFonts w:ascii="仿宋_GB2312" w:hAnsi="仿宋" w:hint="eastAsia"/>
        </w:rPr>
        <w:t>民生路与正光路交叉口</w:t>
      </w:r>
      <w:r>
        <w:rPr>
          <w:rFonts w:ascii="仿宋_GB2312" w:hAnsi="仿宋" w:hint="eastAsia"/>
        </w:rPr>
        <w:t>，</w:t>
      </w:r>
      <w:r w:rsidRPr="000305D2">
        <w:rPr>
          <w:rFonts w:ascii="仿宋_GB2312" w:hAnsi="仿宋" w:hint="eastAsia"/>
        </w:rPr>
        <w:t>河南省直第三人民医院（东区）</w:t>
      </w:r>
      <w:r w:rsidRPr="000305D2">
        <w:rPr>
          <w:rFonts w:ascii="仿宋_GB2312" w:hAnsi="仿宋" w:hint="eastAsia"/>
        </w:rPr>
        <w:t>体检中心</w:t>
      </w:r>
      <w:r>
        <w:rPr>
          <w:rFonts w:ascii="仿宋_GB2312" w:hAnsi="仿宋" w:hint="eastAsia"/>
        </w:rPr>
        <w:t>。</w:t>
      </w:r>
    </w:p>
    <w:p w:rsidR="000305D2" w:rsidRDefault="000305D2" w:rsidP="000305D2">
      <w:pPr>
        <w:shd w:val="clear" w:color="auto" w:fill="FFFFFF"/>
        <w:spacing w:line="375" w:lineRule="atLeast"/>
        <w:ind w:firstLineChars="200" w:firstLine="620"/>
        <w:jc w:val="left"/>
        <w:rPr>
          <w:rFonts w:ascii="仿宋_GB2312" w:hAnsi="仿宋" w:hint="eastAsia"/>
        </w:rPr>
      </w:pPr>
      <w:r w:rsidRPr="000305D2">
        <w:rPr>
          <w:rFonts w:ascii="仿宋_GB2312" w:hAnsi="仿宋" w:hint="eastAsia"/>
        </w:rPr>
        <w:t>联系人：</w:t>
      </w:r>
      <w:proofErr w:type="gramStart"/>
      <w:r w:rsidRPr="000305D2">
        <w:rPr>
          <w:rFonts w:ascii="仿宋_GB2312" w:hAnsi="仿宋" w:hint="eastAsia"/>
        </w:rPr>
        <w:t>陈少伦</w:t>
      </w:r>
      <w:proofErr w:type="gramEnd"/>
      <w:r>
        <w:rPr>
          <w:rFonts w:ascii="仿宋_GB2312" w:hAnsi="仿宋"/>
        </w:rPr>
        <w:t xml:space="preserve">       </w:t>
      </w:r>
      <w:r w:rsidRPr="000305D2">
        <w:rPr>
          <w:rFonts w:ascii="仿宋_GB2312" w:hAnsi="仿宋" w:hint="eastAsia"/>
        </w:rPr>
        <w:t>电话：0371-85512732</w:t>
      </w:r>
    </w:p>
    <w:p w:rsidR="008A000D" w:rsidRDefault="008A000D" w:rsidP="008A000D">
      <w:pPr>
        <w:shd w:val="clear" w:color="auto" w:fill="FFFFFF"/>
        <w:spacing w:line="375" w:lineRule="atLeast"/>
        <w:ind w:firstLineChars="200" w:firstLine="620"/>
        <w:jc w:val="left"/>
        <w:rPr>
          <w:rFonts w:ascii="仿宋_GB2312" w:hAnsi="仿宋" w:hint="eastAsia"/>
          <w:color w:val="FF0000"/>
        </w:rPr>
      </w:pPr>
      <w:r>
        <w:rPr>
          <w:rFonts w:hint="eastAsia"/>
        </w:rPr>
        <w:t>参加体检的人员要按照体检机构的相关要求，持本人身份证原件、《河南省教师资格申请人员体检表》（从河南省教师资格网下载，体检表上照片应与教师资格认定申请表照片一致）参加体检。不到指定机构体检者，其体检结论不予认可。</w:t>
      </w:r>
    </w:p>
    <w:p w:rsidR="008A000D" w:rsidRDefault="008A000D" w:rsidP="008A000D">
      <w:pPr>
        <w:tabs>
          <w:tab w:val="left" w:pos="1240"/>
        </w:tabs>
        <w:ind w:firstLineChars="200" w:firstLine="620"/>
        <w:rPr>
          <w:rStyle w:val="a4"/>
          <w:rFonts w:ascii="楷体_GB2312" w:eastAsia="楷体_GB2312" w:hint="eastAsia"/>
          <w:kern w:val="0"/>
        </w:rPr>
      </w:pPr>
      <w:r>
        <w:rPr>
          <w:rStyle w:val="a4"/>
          <w:rFonts w:ascii="楷体_GB2312" w:eastAsia="楷体_GB2312" w:hint="eastAsia"/>
          <w:b w:val="0"/>
          <w:kern w:val="0"/>
        </w:rPr>
        <w:t>（三）材料受理时间</w:t>
      </w:r>
    </w:p>
    <w:p w:rsidR="00EE66DD" w:rsidRDefault="00EE66DD" w:rsidP="008A000D">
      <w:pPr>
        <w:pStyle w:val="a3"/>
        <w:widowControl w:val="0"/>
        <w:spacing w:before="0" w:beforeAutospacing="0" w:after="0" w:afterAutospacing="0"/>
        <w:ind w:firstLineChars="200" w:firstLine="580"/>
        <w:rPr>
          <w:rFonts w:ascii="仿宋_GB2312" w:hAnsi="仿宋" w:cs="Times New Roman"/>
          <w:color w:val="auto"/>
          <w:spacing w:val="-10"/>
          <w:kern w:val="30"/>
          <w:sz w:val="30"/>
        </w:rPr>
      </w:pPr>
      <w:r>
        <w:rPr>
          <w:rFonts w:ascii="仿宋_GB2312" w:hAnsi="仿宋" w:cs="Times New Roman" w:hint="eastAsia"/>
          <w:color w:val="auto"/>
          <w:spacing w:val="-10"/>
          <w:kern w:val="30"/>
          <w:sz w:val="30"/>
        </w:rPr>
        <w:t>各学院</w:t>
      </w:r>
      <w:proofErr w:type="gramStart"/>
      <w:r>
        <w:rPr>
          <w:rFonts w:ascii="仿宋_GB2312" w:hAnsi="仿宋" w:cs="Times New Roman" w:hint="eastAsia"/>
          <w:color w:val="auto"/>
          <w:spacing w:val="-10"/>
          <w:kern w:val="30"/>
          <w:sz w:val="30"/>
        </w:rPr>
        <w:t>务</w:t>
      </w:r>
      <w:proofErr w:type="gramEnd"/>
      <w:r>
        <w:rPr>
          <w:rFonts w:ascii="仿宋_GB2312" w:hAnsi="仿宋" w:cs="Times New Roman" w:hint="eastAsia"/>
          <w:color w:val="auto"/>
          <w:spacing w:val="-10"/>
          <w:kern w:val="30"/>
          <w:sz w:val="30"/>
        </w:rPr>
        <w:t>于</w:t>
      </w:r>
      <w:r w:rsidR="008A000D">
        <w:rPr>
          <w:rFonts w:ascii="仿宋_GB2312" w:hAnsi="仿宋" w:cs="Times New Roman" w:hint="eastAsia"/>
          <w:color w:val="auto"/>
          <w:spacing w:val="-10"/>
          <w:kern w:val="30"/>
          <w:sz w:val="30"/>
        </w:rPr>
        <w:t>5月</w:t>
      </w:r>
      <w:r>
        <w:rPr>
          <w:rFonts w:ascii="仿宋_GB2312" w:hAnsi="仿宋" w:cs="Times New Roman"/>
          <w:color w:val="auto"/>
          <w:spacing w:val="-10"/>
          <w:kern w:val="30"/>
          <w:sz w:val="30"/>
        </w:rPr>
        <w:t>13</w:t>
      </w:r>
      <w:r w:rsidR="008A000D">
        <w:rPr>
          <w:rFonts w:ascii="仿宋_GB2312" w:hAnsi="仿宋" w:cs="Times New Roman" w:hint="eastAsia"/>
          <w:color w:val="auto"/>
          <w:spacing w:val="-10"/>
          <w:kern w:val="30"/>
          <w:sz w:val="30"/>
        </w:rPr>
        <w:t>日</w:t>
      </w:r>
      <w:r w:rsidRPr="00EE66DD">
        <w:rPr>
          <w:rFonts w:ascii="仿宋_GB2312" w:hAnsi="仿宋" w:cs="Times New Roman" w:hint="eastAsia"/>
          <w:color w:val="auto"/>
          <w:spacing w:val="-10"/>
          <w:kern w:val="30"/>
          <w:sz w:val="30"/>
        </w:rPr>
        <w:t>下午5点前将《河南农业大学2018年上半年申请认定高等学校教师资格人员花名册》</w:t>
      </w:r>
      <w:r w:rsidR="004462AA">
        <w:rPr>
          <w:rFonts w:ascii="仿宋_GB2312" w:hAnsi="仿宋" w:cs="Times New Roman" w:hint="eastAsia"/>
          <w:color w:val="auto"/>
          <w:spacing w:val="-10"/>
          <w:kern w:val="30"/>
          <w:sz w:val="30"/>
        </w:rPr>
        <w:t>（附件1）</w:t>
      </w:r>
      <w:r w:rsidRPr="00EE66DD">
        <w:rPr>
          <w:rFonts w:ascii="仿宋_GB2312" w:hAnsi="仿宋" w:cs="Times New Roman" w:hint="eastAsia"/>
          <w:color w:val="auto"/>
          <w:spacing w:val="-10"/>
          <w:kern w:val="30"/>
          <w:sz w:val="30"/>
        </w:rPr>
        <w:t>报人事处（行政楼119房间），电子版发送邮箱</w:t>
      </w:r>
      <w:r w:rsidR="004462AA">
        <w:rPr>
          <w:rFonts w:ascii="仿宋_GB2312" w:hAnsi="仿宋" w:cs="Times New Roman" w:hint="eastAsia"/>
          <w:color w:val="auto"/>
          <w:spacing w:val="-10"/>
          <w:kern w:val="30"/>
          <w:sz w:val="30"/>
        </w:rPr>
        <w:t>h</w:t>
      </w:r>
      <w:r w:rsidRPr="00EE66DD">
        <w:rPr>
          <w:rFonts w:ascii="仿宋_GB2312" w:hAnsi="仿宋" w:cs="Times New Roman" w:hint="eastAsia"/>
          <w:color w:val="auto"/>
          <w:spacing w:val="-10"/>
          <w:kern w:val="30"/>
          <w:sz w:val="30"/>
        </w:rPr>
        <w:t>nndrsc@163.com。其他材料报送时间另行通知，逾期或提前报送材料不予接收。</w:t>
      </w:r>
    </w:p>
    <w:p w:rsidR="002F4F60" w:rsidRDefault="002F4F60" w:rsidP="008A000D">
      <w:pPr>
        <w:pStyle w:val="a3"/>
        <w:widowControl w:val="0"/>
        <w:spacing w:before="0" w:beforeAutospacing="0" w:after="0" w:afterAutospacing="0"/>
        <w:ind w:firstLineChars="200" w:firstLine="580"/>
        <w:rPr>
          <w:rFonts w:ascii="仿宋_GB2312" w:hAnsi="仿宋" w:cs="Times New Roman" w:hint="eastAsia"/>
          <w:color w:val="auto"/>
          <w:spacing w:val="-10"/>
          <w:kern w:val="30"/>
          <w:sz w:val="30"/>
        </w:rPr>
      </w:pPr>
      <w:r>
        <w:rPr>
          <w:rFonts w:ascii="仿宋_GB2312" w:hAnsi="仿宋" w:cs="Times New Roman" w:hint="eastAsia"/>
          <w:color w:val="auto"/>
          <w:spacing w:val="-10"/>
          <w:kern w:val="30"/>
          <w:sz w:val="30"/>
        </w:rPr>
        <w:t>（四）</w:t>
      </w:r>
      <w:r w:rsidRPr="002F4F60">
        <w:rPr>
          <w:rFonts w:ascii="仿宋_GB2312" w:hAnsi="仿宋" w:cs="Times New Roman" w:hint="eastAsia"/>
          <w:color w:val="auto"/>
          <w:spacing w:val="-10"/>
          <w:kern w:val="30"/>
          <w:sz w:val="30"/>
        </w:rPr>
        <w:t>面试时间：6月14日-16日，地点：河南省理工学校（郑州市花园路与茂花路交叉口向西200米路北）。各高校参加面试人员名单及具体面试时间将于考前在河南省教师资格网（http://jszg.haedu.gov.cn）公布。</w:t>
      </w:r>
    </w:p>
    <w:p w:rsidR="008A000D" w:rsidRDefault="008A000D" w:rsidP="008A000D">
      <w:pPr>
        <w:tabs>
          <w:tab w:val="left" w:pos="1240"/>
        </w:tabs>
        <w:ind w:firstLineChars="200" w:firstLine="620"/>
        <w:rPr>
          <w:rStyle w:val="a4"/>
          <w:rFonts w:ascii="黑体" w:eastAsia="黑体" w:hAnsi="黑体" w:hint="eastAsia"/>
          <w:b w:val="0"/>
        </w:rPr>
      </w:pPr>
      <w:r>
        <w:rPr>
          <w:rStyle w:val="a4"/>
          <w:rFonts w:ascii="黑体" w:eastAsia="黑体" w:hAnsi="黑体" w:hint="eastAsia"/>
          <w:b w:val="0"/>
        </w:rPr>
        <w:t>三、网上</w:t>
      </w:r>
      <w:r w:rsidR="00EE66DD">
        <w:rPr>
          <w:rStyle w:val="a4"/>
          <w:rFonts w:ascii="黑体" w:eastAsia="黑体" w:hAnsi="黑体" w:hint="eastAsia"/>
          <w:b w:val="0"/>
        </w:rPr>
        <w:t>申报</w:t>
      </w:r>
      <w:r>
        <w:rPr>
          <w:rStyle w:val="a4"/>
          <w:rFonts w:ascii="黑体" w:eastAsia="黑体" w:hAnsi="黑体" w:hint="eastAsia"/>
          <w:b w:val="0"/>
        </w:rPr>
        <w:t>要求</w:t>
      </w:r>
    </w:p>
    <w:p w:rsidR="008A000D" w:rsidRDefault="008A000D" w:rsidP="008A000D">
      <w:pPr>
        <w:ind w:firstLineChars="200" w:firstLine="620"/>
        <w:rPr>
          <w:rFonts w:ascii="仿宋_GB2312" w:hAnsi="仿宋" w:cs="宋体" w:hint="eastAsia"/>
          <w:kern w:val="0"/>
        </w:rPr>
      </w:pPr>
      <w:r>
        <w:rPr>
          <w:rFonts w:ascii="仿宋_GB2312" w:hAnsi="仿宋" w:cs="宋体" w:hint="eastAsia"/>
          <w:kern w:val="0"/>
        </w:rPr>
        <w:t>申请人在网上申报时，“中国教师资格网”对学历、普通话信息验证通过的，现场确认时则无需再出示相关证件原件。</w:t>
      </w:r>
    </w:p>
    <w:p w:rsidR="008A000D" w:rsidRDefault="008A000D" w:rsidP="008A000D">
      <w:pPr>
        <w:ind w:firstLineChars="200" w:firstLine="620"/>
        <w:rPr>
          <w:rFonts w:ascii="仿宋_GB2312" w:hAnsi="仿宋" w:hint="eastAsia"/>
          <w:color w:val="000000"/>
        </w:rPr>
      </w:pPr>
      <w:r>
        <w:rPr>
          <w:rFonts w:ascii="仿宋_GB2312" w:hAnsi="仿宋" w:cs="宋体" w:hint="eastAsia"/>
          <w:kern w:val="0"/>
        </w:rPr>
        <w:lastRenderedPageBreak/>
        <w:t>1.</w:t>
      </w:r>
      <w:r>
        <w:rPr>
          <w:rFonts w:ascii="仿宋_GB2312" w:hAnsi="仿宋" w:hint="eastAsia"/>
          <w:color w:val="000000"/>
        </w:rPr>
        <w:t>参加面试人员与直接认定人员均需在规定时间段内登录“中国教师资格网”，在首页右侧点击“教师资格认定申请人入口”进行注册。注册成功后，选择“教师资格认定”板块进行报名，按照“网上申报协议”、“填写身份信息”、“选择认定机构”、“填写认定信息”、“确认申报信息”、“提交申报信息”等规定流程据实、正确填报相关内容。未在规定时间进行网上申报的申请人，视为自动放弃本次面试或认定。</w:t>
      </w:r>
    </w:p>
    <w:p w:rsidR="008A000D" w:rsidRDefault="008A000D" w:rsidP="008A000D">
      <w:pPr>
        <w:ind w:firstLineChars="200" w:firstLine="620"/>
        <w:rPr>
          <w:rFonts w:ascii="仿宋_GB2312" w:hAnsi="仿宋" w:hint="eastAsia"/>
          <w:color w:val="000000"/>
        </w:rPr>
      </w:pPr>
      <w:r>
        <w:rPr>
          <w:rFonts w:ascii="仿宋_GB2312" w:hAnsi="仿宋" w:hint="eastAsia"/>
          <w:color w:val="000000"/>
        </w:rPr>
        <w:t>2.考试形式选择“非国家统一考试（含免试）”；认定所在地选“任职高等学校所在地”。</w:t>
      </w:r>
    </w:p>
    <w:p w:rsidR="008A000D" w:rsidRDefault="008A000D" w:rsidP="008A000D">
      <w:pPr>
        <w:ind w:firstLineChars="200" w:firstLine="620"/>
        <w:rPr>
          <w:rFonts w:ascii="仿宋_GB2312" w:hAnsi="仿宋" w:hint="eastAsia"/>
          <w:color w:val="000000"/>
        </w:rPr>
      </w:pPr>
      <w:r>
        <w:rPr>
          <w:rFonts w:ascii="仿宋_GB2312" w:hAnsi="仿宋" w:hint="eastAsia"/>
          <w:color w:val="000000"/>
        </w:rPr>
        <w:t>3.现场确认点选择：选择“河南省教育厅第一确认点”。</w:t>
      </w:r>
    </w:p>
    <w:p w:rsidR="008A000D" w:rsidRDefault="008A000D" w:rsidP="008A000D">
      <w:pPr>
        <w:ind w:firstLineChars="200" w:firstLine="620"/>
        <w:rPr>
          <w:rFonts w:ascii="仿宋_GB2312" w:hAnsi="仿宋" w:hint="eastAsia"/>
          <w:color w:val="000000"/>
        </w:rPr>
      </w:pPr>
      <w:r>
        <w:rPr>
          <w:rFonts w:ascii="仿宋_GB2312" w:hAnsi="仿宋" w:hint="eastAsia"/>
          <w:color w:val="000000"/>
        </w:rPr>
        <w:t>4.“学历专业类别”栏目须选择“师范教育类”或“非师范教育类”，具体要求如下：参加面试人员选择“非师范教育类”；直接认定人员选择“师范教育类”。</w:t>
      </w:r>
    </w:p>
    <w:p w:rsidR="008A000D" w:rsidRDefault="008A000D" w:rsidP="008A000D">
      <w:pPr>
        <w:ind w:firstLineChars="200" w:firstLine="620"/>
        <w:rPr>
          <w:rFonts w:ascii="仿宋_GB2312" w:hAnsi="仿宋" w:cs="宋体" w:hint="eastAsia"/>
          <w:kern w:val="0"/>
        </w:rPr>
      </w:pPr>
      <w:r>
        <w:rPr>
          <w:rFonts w:ascii="仿宋_GB2312" w:hAnsi="仿宋" w:hint="eastAsia"/>
          <w:color w:val="000000"/>
        </w:rPr>
        <w:t>5.</w:t>
      </w:r>
      <w:r>
        <w:rPr>
          <w:rFonts w:ascii="仿宋_GB2312" w:hAnsi="仿宋" w:cs="宋体" w:hint="eastAsia"/>
          <w:kern w:val="0"/>
        </w:rPr>
        <w:t>“申请任教学科”应准确填写至“二级学科”，如“二级学科”不能明确显示本人任教课程，可填至“三级学科”，禁止填写一级学科。所有填写一级学科的人员，将取消本次面试或直接认定资格。任教学科请参照河南省教师资格网“资料下载”中《学科对照表（高等学校教师资格任教学科）》，例如：“C66文化教育大类，C6601语言文化类，C660101汉语”，C66文化教育大类为一级学科，C6601语言文化类为二级学科，C660101汉语为三级学科。</w:t>
      </w:r>
    </w:p>
    <w:p w:rsidR="008A000D" w:rsidRDefault="008A000D" w:rsidP="008A000D">
      <w:pPr>
        <w:ind w:firstLineChars="200" w:firstLine="620"/>
        <w:rPr>
          <w:rFonts w:ascii="仿宋_GB2312" w:hAnsi="仿宋" w:hint="eastAsia"/>
          <w:color w:val="000000"/>
        </w:rPr>
      </w:pPr>
      <w:r>
        <w:rPr>
          <w:rFonts w:ascii="仿宋_GB2312" w:hAnsi="仿宋" w:cs="宋体" w:hint="eastAsia"/>
          <w:kern w:val="0"/>
        </w:rPr>
        <w:t>6.</w:t>
      </w:r>
      <w:r>
        <w:rPr>
          <w:rStyle w:val="a4"/>
          <w:rFonts w:ascii="仿宋_GB2312" w:hAnsi="仿宋" w:hint="eastAsia"/>
          <w:b w:val="0"/>
          <w:color w:val="000000"/>
        </w:rPr>
        <w:t>申请人工作单位名称必须规范填写高校全称</w:t>
      </w:r>
      <w:r w:rsidR="00382609">
        <w:rPr>
          <w:rStyle w:val="a4"/>
          <w:rFonts w:ascii="仿宋_GB2312" w:hAnsi="仿宋" w:hint="eastAsia"/>
          <w:b w:val="0"/>
          <w:color w:val="000000"/>
        </w:rPr>
        <w:t>：河南农业大</w:t>
      </w:r>
      <w:r w:rsidR="00382609">
        <w:rPr>
          <w:rStyle w:val="a4"/>
          <w:rFonts w:ascii="仿宋_GB2312" w:hAnsi="仿宋" w:hint="eastAsia"/>
          <w:b w:val="0"/>
          <w:color w:val="000000"/>
        </w:rPr>
        <w:lastRenderedPageBreak/>
        <w:t>学</w:t>
      </w:r>
      <w:r>
        <w:rPr>
          <w:rStyle w:val="a4"/>
          <w:rFonts w:ascii="仿宋_GB2312" w:hAnsi="仿宋" w:hint="eastAsia"/>
          <w:b w:val="0"/>
          <w:color w:val="000000"/>
        </w:rPr>
        <w:t>。</w:t>
      </w:r>
    </w:p>
    <w:p w:rsidR="008A000D" w:rsidRDefault="008A000D" w:rsidP="008A000D">
      <w:pPr>
        <w:pStyle w:val="a3"/>
        <w:widowControl w:val="0"/>
        <w:spacing w:before="0" w:beforeAutospacing="0" w:after="0" w:afterAutospacing="0"/>
        <w:ind w:firstLineChars="200" w:firstLine="620"/>
        <w:rPr>
          <w:rFonts w:ascii="仿宋_GB2312" w:hAnsi="仿宋" w:hint="eastAsia"/>
          <w:sz w:val="30"/>
        </w:rPr>
      </w:pPr>
      <w:r>
        <w:rPr>
          <w:rFonts w:ascii="仿宋_GB2312" w:hAnsi="仿宋" w:hint="eastAsia"/>
          <w:sz w:val="30"/>
        </w:rPr>
        <w:t>7.申请人必须严格按照网上申报系统要求上传照片。</w:t>
      </w:r>
    </w:p>
    <w:p w:rsidR="008A000D" w:rsidRDefault="008A000D" w:rsidP="008A000D">
      <w:pPr>
        <w:pStyle w:val="a3"/>
        <w:widowControl w:val="0"/>
        <w:spacing w:before="0" w:beforeAutospacing="0" w:after="0" w:afterAutospacing="0"/>
        <w:ind w:firstLineChars="200" w:firstLine="620"/>
        <w:rPr>
          <w:rFonts w:ascii="仿宋_GB2312" w:hAnsi="仿宋" w:hint="eastAsia"/>
          <w:sz w:val="30"/>
        </w:rPr>
      </w:pPr>
      <w:r>
        <w:rPr>
          <w:rFonts w:ascii="仿宋_GB2312" w:hAnsi="仿宋" w:hint="eastAsia"/>
          <w:sz w:val="30"/>
        </w:rPr>
        <w:t>8.新版申请表采用《个人承诺书》替代原有《思想品德鉴定表》，申请人通过网上报名系统上传本人打印签字的《个人承诺书》照片，系统自动添加于申请表内，无需提交纸质签名材料。</w:t>
      </w:r>
    </w:p>
    <w:p w:rsidR="008A000D" w:rsidRDefault="008A000D" w:rsidP="008A000D">
      <w:pPr>
        <w:pStyle w:val="a3"/>
        <w:widowControl w:val="0"/>
        <w:spacing w:before="0" w:beforeAutospacing="0" w:after="0" w:afterAutospacing="0"/>
        <w:ind w:firstLineChars="200" w:firstLine="620"/>
        <w:rPr>
          <w:rFonts w:ascii="仿宋_GB2312" w:hAnsi="仿宋" w:hint="eastAsia"/>
          <w:sz w:val="30"/>
        </w:rPr>
      </w:pPr>
      <w:r>
        <w:rPr>
          <w:rFonts w:ascii="仿宋_GB2312" w:hAnsi="仿宋" w:hint="eastAsia"/>
          <w:sz w:val="30"/>
        </w:rPr>
        <w:t>9.申请人有下列情况，认定机构应在备注栏中注明：</w:t>
      </w:r>
      <w:r>
        <w:rPr>
          <w:rFonts w:ascii="仿宋_GB2312" w:hAnsi="仿宋" w:hint="eastAsia"/>
          <w:sz w:val="30"/>
        </w:rPr>
        <w:fldChar w:fldCharType="begin"/>
      </w:r>
      <w:r>
        <w:rPr>
          <w:rFonts w:ascii="仿宋_GB2312" w:hAnsi="仿宋" w:hint="eastAsia"/>
          <w:sz w:val="30"/>
        </w:rPr>
        <w:instrText xml:space="preserve"> = 1 \* GB3 </w:instrText>
      </w:r>
      <w:r>
        <w:rPr>
          <w:rFonts w:ascii="仿宋_GB2312" w:hAnsi="仿宋"/>
          <w:sz w:val="30"/>
        </w:rPr>
        <w:fldChar w:fldCharType="separate"/>
      </w:r>
      <w:r>
        <w:rPr>
          <w:rFonts w:ascii="仿宋_GB2312" w:hAnsi="仿宋" w:hint="eastAsia"/>
          <w:sz w:val="30"/>
        </w:rPr>
        <w:t>①</w:t>
      </w:r>
      <w:r>
        <w:rPr>
          <w:rFonts w:ascii="仿宋_GB2312" w:hAnsi="仿宋" w:hint="eastAsia"/>
          <w:sz w:val="30"/>
        </w:rPr>
        <w:fldChar w:fldCharType="end"/>
      </w:r>
      <w:r>
        <w:rPr>
          <w:rFonts w:ascii="仿宋_GB2312" w:hAnsi="仿宋" w:hint="eastAsia"/>
          <w:sz w:val="30"/>
        </w:rPr>
        <w:t>取得过某种教师资格；</w:t>
      </w:r>
      <w:r>
        <w:rPr>
          <w:rFonts w:ascii="仿宋_GB2312" w:hAnsi="仿宋" w:hint="eastAsia"/>
          <w:sz w:val="30"/>
        </w:rPr>
        <w:fldChar w:fldCharType="begin"/>
      </w:r>
      <w:r>
        <w:rPr>
          <w:rFonts w:ascii="仿宋_GB2312" w:hAnsi="仿宋" w:hint="eastAsia"/>
          <w:sz w:val="30"/>
        </w:rPr>
        <w:instrText xml:space="preserve"> = 2 \* GB3 </w:instrText>
      </w:r>
      <w:r>
        <w:rPr>
          <w:rFonts w:ascii="仿宋_GB2312" w:hAnsi="仿宋"/>
          <w:sz w:val="30"/>
        </w:rPr>
        <w:fldChar w:fldCharType="separate"/>
      </w:r>
      <w:r>
        <w:rPr>
          <w:rFonts w:ascii="仿宋_GB2312" w:hAnsi="仿宋" w:hint="eastAsia"/>
          <w:sz w:val="30"/>
        </w:rPr>
        <w:t>②</w:t>
      </w:r>
      <w:r>
        <w:rPr>
          <w:rFonts w:ascii="仿宋_GB2312" w:hAnsi="仿宋" w:hint="eastAsia"/>
          <w:sz w:val="30"/>
        </w:rPr>
        <w:fldChar w:fldCharType="end"/>
      </w:r>
      <w:r>
        <w:rPr>
          <w:rFonts w:ascii="仿宋_GB2312" w:hAnsi="仿宋" w:hint="eastAsia"/>
          <w:sz w:val="30"/>
        </w:rPr>
        <w:t>被撤销过教师资格；</w:t>
      </w:r>
      <w:r>
        <w:rPr>
          <w:rFonts w:ascii="仿宋_GB2312" w:hAnsi="仿宋" w:hint="eastAsia"/>
          <w:sz w:val="30"/>
        </w:rPr>
        <w:fldChar w:fldCharType="begin"/>
      </w:r>
      <w:r>
        <w:rPr>
          <w:rFonts w:ascii="仿宋_GB2312" w:hAnsi="仿宋" w:hint="eastAsia"/>
          <w:sz w:val="30"/>
        </w:rPr>
        <w:instrText xml:space="preserve"> = 3 \* GB3 </w:instrText>
      </w:r>
      <w:r>
        <w:rPr>
          <w:rFonts w:ascii="仿宋_GB2312" w:hAnsi="仿宋"/>
          <w:sz w:val="30"/>
        </w:rPr>
        <w:fldChar w:fldCharType="separate"/>
      </w:r>
      <w:r>
        <w:rPr>
          <w:rFonts w:ascii="仿宋_GB2312" w:hAnsi="仿宋" w:hint="eastAsia"/>
          <w:sz w:val="30"/>
        </w:rPr>
        <w:t>③</w:t>
      </w:r>
      <w:r>
        <w:rPr>
          <w:rFonts w:ascii="仿宋_GB2312" w:hAnsi="仿宋" w:hint="eastAsia"/>
          <w:sz w:val="30"/>
        </w:rPr>
        <w:fldChar w:fldCharType="end"/>
      </w:r>
      <w:r>
        <w:rPr>
          <w:rFonts w:ascii="仿宋_GB2312" w:hAnsi="仿宋" w:hint="eastAsia"/>
          <w:sz w:val="30"/>
        </w:rPr>
        <w:t>其它需要说明的情况。</w:t>
      </w:r>
    </w:p>
    <w:p w:rsidR="008A000D" w:rsidRDefault="008A000D" w:rsidP="008A000D">
      <w:pPr>
        <w:pStyle w:val="a3"/>
        <w:widowControl w:val="0"/>
        <w:spacing w:before="0" w:beforeAutospacing="0" w:after="0" w:afterAutospacing="0"/>
        <w:ind w:firstLineChars="200" w:firstLine="620"/>
        <w:rPr>
          <w:rFonts w:ascii="仿宋_GB2312" w:hAnsi="仿宋" w:hint="eastAsia"/>
          <w:sz w:val="30"/>
        </w:rPr>
      </w:pPr>
      <w:r>
        <w:rPr>
          <w:rFonts w:ascii="仿宋_GB2312" w:hAnsi="仿宋" w:hint="eastAsia"/>
          <w:sz w:val="30"/>
        </w:rPr>
        <w:t>10.现场确认工作由申请人所在高校统一办理，申请人无需亲自办理现场确认事宜。</w:t>
      </w:r>
    </w:p>
    <w:p w:rsidR="008A000D" w:rsidRDefault="008A000D" w:rsidP="008A000D">
      <w:pPr>
        <w:pStyle w:val="a3"/>
        <w:widowControl w:val="0"/>
        <w:spacing w:before="0" w:beforeAutospacing="0" w:after="0" w:afterAutospacing="0"/>
        <w:ind w:firstLineChars="200" w:firstLine="620"/>
        <w:rPr>
          <w:rFonts w:ascii="仿宋_GB2312" w:hAnsi="仿宋" w:hint="eastAsia"/>
          <w:sz w:val="30"/>
        </w:rPr>
      </w:pPr>
      <w:r>
        <w:rPr>
          <w:rFonts w:ascii="仿宋_GB2312" w:hAnsi="仿宋" w:hint="eastAsia"/>
          <w:sz w:val="30"/>
        </w:rPr>
        <w:t>11.按照教育部有关规定，同一申请人在同一年内不得申请两种教师资格。</w:t>
      </w:r>
    </w:p>
    <w:p w:rsidR="008A000D" w:rsidRDefault="008A000D" w:rsidP="008A000D">
      <w:pPr>
        <w:pStyle w:val="a3"/>
        <w:widowControl w:val="0"/>
        <w:spacing w:before="0" w:beforeAutospacing="0" w:after="0" w:afterAutospacing="0"/>
        <w:ind w:firstLineChars="200" w:firstLine="620"/>
        <w:rPr>
          <w:rStyle w:val="a4"/>
          <w:rFonts w:ascii="黑体" w:eastAsia="黑体" w:hAnsi="黑体" w:hint="eastAsia"/>
          <w:b w:val="0"/>
        </w:rPr>
      </w:pPr>
      <w:r>
        <w:rPr>
          <w:rStyle w:val="a4"/>
          <w:rFonts w:ascii="黑体" w:eastAsia="黑体" w:hAnsi="黑体" w:hint="eastAsia"/>
          <w:b w:val="0"/>
          <w:color w:val="auto"/>
          <w:sz w:val="30"/>
        </w:rPr>
        <w:t>四、</w:t>
      </w:r>
      <w:r w:rsidR="000774CB" w:rsidRPr="000774CB">
        <w:rPr>
          <w:rStyle w:val="a4"/>
          <w:rFonts w:ascii="黑体" w:eastAsia="黑体" w:hAnsi="黑体" w:hint="eastAsia"/>
          <w:b w:val="0"/>
          <w:color w:val="auto"/>
          <w:sz w:val="30"/>
        </w:rPr>
        <w:t>申请人员的个人申报材料</w:t>
      </w:r>
      <w:r>
        <w:rPr>
          <w:rStyle w:val="a4"/>
          <w:rFonts w:ascii="黑体" w:eastAsia="黑体" w:hAnsi="黑体" w:hint="eastAsia"/>
          <w:b w:val="0"/>
          <w:color w:val="auto"/>
          <w:sz w:val="30"/>
        </w:rPr>
        <w:t>要求</w:t>
      </w:r>
    </w:p>
    <w:p w:rsidR="008A000D" w:rsidRDefault="008A000D" w:rsidP="008A000D">
      <w:pPr>
        <w:pStyle w:val="a3"/>
        <w:widowControl w:val="0"/>
        <w:spacing w:before="0" w:beforeAutospacing="0" w:after="0" w:afterAutospacing="0"/>
        <w:ind w:firstLineChars="200" w:firstLine="620"/>
        <w:rPr>
          <w:rStyle w:val="a4"/>
          <w:rFonts w:ascii="仿宋_GB2312" w:hint="eastAsia"/>
          <w:b w:val="0"/>
          <w:color w:val="auto"/>
          <w:sz w:val="30"/>
        </w:rPr>
      </w:pPr>
      <w:r>
        <w:rPr>
          <w:rStyle w:val="a4"/>
          <w:rFonts w:ascii="楷体_GB2312" w:eastAsia="楷体_GB2312" w:hAnsi="仿宋" w:hint="eastAsia"/>
          <w:b w:val="0"/>
          <w:color w:val="auto"/>
          <w:sz w:val="30"/>
        </w:rPr>
        <w:t>（</w:t>
      </w:r>
      <w:r w:rsidR="000774CB">
        <w:rPr>
          <w:rStyle w:val="a4"/>
          <w:rFonts w:ascii="楷体_GB2312" w:eastAsia="楷体_GB2312" w:hAnsi="仿宋" w:hint="eastAsia"/>
          <w:b w:val="0"/>
          <w:color w:val="auto"/>
          <w:sz w:val="30"/>
        </w:rPr>
        <w:t>一</w:t>
      </w:r>
      <w:r>
        <w:rPr>
          <w:rStyle w:val="a4"/>
          <w:rFonts w:ascii="楷体_GB2312" w:eastAsia="楷体_GB2312" w:hAnsi="仿宋" w:hint="eastAsia"/>
          <w:b w:val="0"/>
          <w:color w:val="auto"/>
          <w:sz w:val="30"/>
        </w:rPr>
        <w:t>）</w:t>
      </w:r>
      <w:r>
        <w:rPr>
          <w:rStyle w:val="a4"/>
          <w:rFonts w:ascii="仿宋_GB2312" w:hint="eastAsia"/>
          <w:b w:val="0"/>
          <w:color w:val="auto"/>
          <w:sz w:val="30"/>
        </w:rPr>
        <w:t>直接认定人员申报材料</w:t>
      </w:r>
    </w:p>
    <w:p w:rsidR="008A000D" w:rsidRDefault="000774CB" w:rsidP="008A000D">
      <w:pPr>
        <w:pStyle w:val="a3"/>
        <w:widowControl w:val="0"/>
        <w:adjustRightInd w:val="0"/>
        <w:spacing w:before="0" w:beforeAutospacing="0" w:after="0" w:afterAutospacing="0"/>
        <w:ind w:firstLineChars="200" w:firstLine="620"/>
        <w:rPr>
          <w:rFonts w:hAnsi="仿宋" w:hint="eastAsia"/>
        </w:rPr>
      </w:pPr>
      <w:r>
        <w:rPr>
          <w:rFonts w:ascii="仿宋_GB2312" w:hAnsi="仿宋" w:hint="eastAsia"/>
          <w:color w:val="auto"/>
          <w:sz w:val="30"/>
        </w:rPr>
        <w:t>1</w:t>
      </w:r>
      <w:r>
        <w:rPr>
          <w:rFonts w:ascii="仿宋_GB2312" w:hAnsi="仿宋"/>
          <w:color w:val="auto"/>
          <w:sz w:val="30"/>
        </w:rPr>
        <w:t>.</w:t>
      </w:r>
      <w:r w:rsidR="008A000D">
        <w:rPr>
          <w:rFonts w:ascii="仿宋_GB2312" w:hAnsi="仿宋" w:hint="eastAsia"/>
          <w:color w:val="auto"/>
          <w:sz w:val="30"/>
        </w:rPr>
        <w:t>《河南省教师资格申请人员体检表》原件（在河南省教师资格网（http://jszg.haedu.gov.cn）下载）。</w:t>
      </w:r>
    </w:p>
    <w:p w:rsidR="008A000D" w:rsidRDefault="000774CB" w:rsidP="008A000D">
      <w:pPr>
        <w:pStyle w:val="a3"/>
        <w:widowControl w:val="0"/>
        <w:adjustRightInd w:val="0"/>
        <w:spacing w:before="0" w:beforeAutospacing="0" w:after="0" w:afterAutospacing="0"/>
        <w:ind w:firstLineChars="200" w:firstLine="620"/>
        <w:rPr>
          <w:rFonts w:ascii="仿宋_GB2312" w:hAnsi="仿宋" w:hint="eastAsia"/>
          <w:color w:val="auto"/>
          <w:sz w:val="30"/>
        </w:rPr>
      </w:pPr>
      <w:r>
        <w:rPr>
          <w:rFonts w:ascii="仿宋_GB2312" w:hAnsi="仿宋" w:hint="eastAsia"/>
          <w:color w:val="auto"/>
          <w:sz w:val="30"/>
        </w:rPr>
        <w:t>2</w:t>
      </w:r>
      <w:r>
        <w:rPr>
          <w:rFonts w:ascii="仿宋_GB2312" w:hAnsi="仿宋"/>
          <w:color w:val="auto"/>
          <w:sz w:val="30"/>
        </w:rPr>
        <w:t>.</w:t>
      </w:r>
      <w:r w:rsidR="008A000D">
        <w:rPr>
          <w:rFonts w:ascii="仿宋_GB2312" w:hAnsi="仿宋" w:hint="eastAsia"/>
          <w:color w:val="auto"/>
          <w:sz w:val="30"/>
        </w:rPr>
        <w:t>身份证原件。</w:t>
      </w:r>
    </w:p>
    <w:p w:rsidR="008A000D" w:rsidRDefault="000774CB" w:rsidP="008A000D">
      <w:pPr>
        <w:pStyle w:val="a3"/>
        <w:widowControl w:val="0"/>
        <w:adjustRightInd w:val="0"/>
        <w:spacing w:before="0" w:beforeAutospacing="0" w:after="0" w:afterAutospacing="0"/>
        <w:ind w:firstLineChars="200" w:firstLine="620"/>
        <w:rPr>
          <w:rFonts w:ascii="仿宋_GB2312" w:hAnsi="仿宋" w:hint="eastAsia"/>
          <w:color w:val="auto"/>
          <w:sz w:val="30"/>
        </w:rPr>
      </w:pPr>
      <w:r>
        <w:rPr>
          <w:rFonts w:ascii="仿宋_GB2312" w:hAnsi="仿宋" w:hint="eastAsia"/>
          <w:color w:val="auto"/>
          <w:sz w:val="30"/>
        </w:rPr>
        <w:t>3</w:t>
      </w:r>
      <w:r>
        <w:rPr>
          <w:rFonts w:ascii="仿宋_GB2312" w:hAnsi="仿宋"/>
          <w:color w:val="auto"/>
          <w:sz w:val="30"/>
        </w:rPr>
        <w:t>.</w:t>
      </w:r>
      <w:r w:rsidR="008A000D">
        <w:rPr>
          <w:rFonts w:ascii="仿宋_GB2312" w:hAnsi="仿宋" w:hint="eastAsia"/>
          <w:color w:val="auto"/>
          <w:sz w:val="30"/>
        </w:rPr>
        <w:t>学历证书原件（博士提交其学位证书）（全日制本科师范生及全日制教育硕士必须提交其师范专业的学历证书）；港澳台学历应同时提交教育部留学服务中心出具的《港澳台学历认证书》原件，国外学历应同时提交教育部留学服务中心出具的《国</w:t>
      </w:r>
      <w:r w:rsidR="008A000D">
        <w:rPr>
          <w:rFonts w:ascii="仿宋_GB2312" w:hAnsi="仿宋" w:hint="eastAsia"/>
          <w:color w:val="auto"/>
          <w:sz w:val="30"/>
        </w:rPr>
        <w:lastRenderedPageBreak/>
        <w:t>外学历认证书》的原件。</w:t>
      </w:r>
    </w:p>
    <w:p w:rsidR="008A000D" w:rsidRDefault="000774CB" w:rsidP="008A000D">
      <w:pPr>
        <w:pStyle w:val="a3"/>
        <w:widowControl w:val="0"/>
        <w:adjustRightInd w:val="0"/>
        <w:spacing w:before="0" w:beforeAutospacing="0" w:after="0" w:afterAutospacing="0"/>
        <w:ind w:firstLineChars="200" w:firstLine="620"/>
        <w:rPr>
          <w:rFonts w:ascii="仿宋_GB2312" w:hAnsi="仿宋" w:hint="eastAsia"/>
          <w:color w:val="auto"/>
          <w:sz w:val="30"/>
        </w:rPr>
      </w:pPr>
      <w:r>
        <w:rPr>
          <w:rFonts w:ascii="仿宋_GB2312" w:hAnsi="仿宋" w:hint="eastAsia"/>
          <w:color w:val="auto"/>
          <w:sz w:val="30"/>
        </w:rPr>
        <w:t>4</w:t>
      </w:r>
      <w:r>
        <w:rPr>
          <w:rFonts w:ascii="仿宋_GB2312" w:hAnsi="仿宋"/>
          <w:color w:val="auto"/>
          <w:sz w:val="30"/>
        </w:rPr>
        <w:t>.</w:t>
      </w:r>
      <w:r w:rsidR="008A000D">
        <w:rPr>
          <w:rFonts w:ascii="仿宋_GB2312" w:hAnsi="仿宋" w:hint="eastAsia"/>
          <w:color w:val="auto"/>
          <w:sz w:val="30"/>
        </w:rPr>
        <w:t>普通话水平测试等级证书原件。（具有高校教师系列副教授以上职称或具有博士学位人员除外）。</w:t>
      </w:r>
    </w:p>
    <w:p w:rsidR="008A000D" w:rsidRDefault="000774CB" w:rsidP="008A000D">
      <w:pPr>
        <w:pStyle w:val="a3"/>
        <w:widowControl w:val="0"/>
        <w:adjustRightInd w:val="0"/>
        <w:spacing w:before="0" w:beforeAutospacing="0" w:after="0" w:afterAutospacing="0"/>
        <w:ind w:firstLineChars="200" w:firstLine="620"/>
        <w:rPr>
          <w:rFonts w:ascii="仿宋_GB2312" w:hAnsi="仿宋" w:hint="eastAsia"/>
          <w:color w:val="auto"/>
          <w:sz w:val="30"/>
        </w:rPr>
      </w:pPr>
      <w:r>
        <w:rPr>
          <w:rFonts w:ascii="仿宋_GB2312" w:hAnsi="仿宋" w:hint="eastAsia"/>
          <w:color w:val="auto"/>
          <w:sz w:val="30"/>
        </w:rPr>
        <w:t>5</w:t>
      </w:r>
      <w:r>
        <w:rPr>
          <w:rFonts w:ascii="仿宋_GB2312" w:hAnsi="仿宋"/>
          <w:color w:val="auto"/>
          <w:sz w:val="30"/>
        </w:rPr>
        <w:t>.</w:t>
      </w:r>
      <w:r w:rsidR="008A000D">
        <w:rPr>
          <w:rFonts w:ascii="仿宋_GB2312" w:hAnsi="仿宋" w:hint="eastAsia"/>
          <w:color w:val="auto"/>
          <w:sz w:val="30"/>
        </w:rPr>
        <w:t>高校教师系列副教授以上职称人员须提供高校教师系列副教授以上职称证原件。</w:t>
      </w:r>
    </w:p>
    <w:p w:rsidR="008A000D" w:rsidRDefault="000774CB" w:rsidP="008A000D">
      <w:pPr>
        <w:pStyle w:val="a3"/>
        <w:widowControl w:val="0"/>
        <w:adjustRightInd w:val="0"/>
        <w:spacing w:before="0" w:beforeAutospacing="0" w:after="0" w:afterAutospacing="0"/>
        <w:ind w:firstLineChars="200" w:firstLine="620"/>
        <w:rPr>
          <w:rFonts w:ascii="仿宋_GB2312" w:hAnsi="仿宋" w:hint="eastAsia"/>
          <w:color w:val="auto"/>
          <w:sz w:val="30"/>
        </w:rPr>
      </w:pPr>
      <w:r>
        <w:rPr>
          <w:rFonts w:ascii="仿宋_GB2312" w:hAnsi="仿宋" w:hint="eastAsia"/>
          <w:color w:val="auto"/>
          <w:sz w:val="30"/>
        </w:rPr>
        <w:t>6</w:t>
      </w:r>
      <w:r>
        <w:rPr>
          <w:rFonts w:ascii="仿宋_GB2312" w:hAnsi="仿宋"/>
          <w:color w:val="auto"/>
          <w:sz w:val="30"/>
        </w:rPr>
        <w:t>.</w:t>
      </w:r>
      <w:r w:rsidR="008A000D">
        <w:rPr>
          <w:rFonts w:ascii="仿宋_GB2312" w:hAnsi="仿宋" w:hint="eastAsia"/>
          <w:color w:val="auto"/>
          <w:sz w:val="30"/>
        </w:rPr>
        <w:t>申请直接认定的全日制本科师范生须提供入学当年招生计划表复印件（招生计划表必须明确显示其为师范专业，并加盖相关部门公章）。</w:t>
      </w:r>
    </w:p>
    <w:p w:rsidR="008A000D" w:rsidRDefault="000774CB" w:rsidP="008A000D">
      <w:pPr>
        <w:pStyle w:val="a3"/>
        <w:widowControl w:val="0"/>
        <w:spacing w:before="0" w:beforeAutospacing="0" w:after="0" w:afterAutospacing="0"/>
        <w:ind w:firstLineChars="200" w:firstLine="620"/>
        <w:rPr>
          <w:rStyle w:val="a4"/>
          <w:rFonts w:hint="eastAsia"/>
          <w:b w:val="0"/>
        </w:rPr>
      </w:pPr>
      <w:r>
        <w:rPr>
          <w:rStyle w:val="a4"/>
          <w:rFonts w:ascii="仿宋_GB2312" w:hint="eastAsia"/>
          <w:b w:val="0"/>
          <w:color w:val="auto"/>
          <w:sz w:val="30"/>
        </w:rPr>
        <w:t>（二）</w:t>
      </w:r>
      <w:r w:rsidR="008A000D">
        <w:rPr>
          <w:rStyle w:val="a4"/>
          <w:rFonts w:ascii="仿宋_GB2312" w:hint="eastAsia"/>
          <w:b w:val="0"/>
          <w:color w:val="auto"/>
          <w:sz w:val="30"/>
        </w:rPr>
        <w:t>面试人员申报材料</w:t>
      </w:r>
    </w:p>
    <w:p w:rsidR="008A000D" w:rsidRDefault="008A000D" w:rsidP="008A000D">
      <w:pPr>
        <w:pStyle w:val="a3"/>
        <w:widowControl w:val="0"/>
        <w:adjustRightInd w:val="0"/>
        <w:spacing w:before="0" w:beforeAutospacing="0" w:after="0" w:afterAutospacing="0"/>
        <w:ind w:firstLineChars="200" w:firstLine="620"/>
        <w:rPr>
          <w:rFonts w:hAnsi="仿宋" w:hint="eastAsia"/>
          <w:color w:val="auto"/>
        </w:rPr>
      </w:pPr>
      <w:r>
        <w:rPr>
          <w:rFonts w:ascii="仿宋_GB2312" w:hAnsi="仿宋" w:hint="eastAsia"/>
          <w:color w:val="auto"/>
          <w:sz w:val="30"/>
        </w:rPr>
        <w:t>参加面试人员只需提交上述直接认定人员申报材料的</w:t>
      </w:r>
      <w:r w:rsidR="000774CB">
        <w:rPr>
          <w:rFonts w:ascii="仿宋_GB2312" w:hAnsi="仿宋" w:hint="eastAsia"/>
          <w:color w:val="auto"/>
          <w:sz w:val="30"/>
        </w:rPr>
        <w:t>1</w:t>
      </w:r>
      <w:r>
        <w:rPr>
          <w:rFonts w:ascii="仿宋_GB2312" w:hAnsi="仿宋" w:hint="eastAsia"/>
          <w:color w:val="auto"/>
          <w:sz w:val="30"/>
        </w:rPr>
        <w:t>、</w:t>
      </w:r>
      <w:r w:rsidR="000774CB">
        <w:rPr>
          <w:rFonts w:ascii="仿宋_GB2312" w:hAnsi="仿宋" w:hint="eastAsia"/>
          <w:color w:val="auto"/>
          <w:sz w:val="30"/>
        </w:rPr>
        <w:t>2</w:t>
      </w:r>
      <w:r>
        <w:rPr>
          <w:rFonts w:ascii="仿宋_GB2312" w:hAnsi="仿宋" w:hint="eastAsia"/>
          <w:color w:val="auto"/>
          <w:sz w:val="30"/>
        </w:rPr>
        <w:t>、</w:t>
      </w:r>
      <w:r w:rsidR="000774CB">
        <w:rPr>
          <w:rFonts w:ascii="仿宋_GB2312" w:hAnsi="仿宋" w:hint="eastAsia"/>
          <w:color w:val="auto"/>
          <w:sz w:val="30"/>
        </w:rPr>
        <w:t>3</w:t>
      </w:r>
      <w:r>
        <w:rPr>
          <w:rFonts w:ascii="仿宋_GB2312" w:hAnsi="仿宋" w:hint="eastAsia"/>
          <w:color w:val="auto"/>
          <w:sz w:val="30"/>
        </w:rPr>
        <w:t>、</w:t>
      </w:r>
      <w:r w:rsidR="000774CB">
        <w:rPr>
          <w:rFonts w:ascii="仿宋_GB2312" w:hAnsi="仿宋" w:hint="eastAsia"/>
          <w:color w:val="auto"/>
          <w:sz w:val="30"/>
        </w:rPr>
        <w:t>4项</w:t>
      </w:r>
      <w:r>
        <w:rPr>
          <w:rFonts w:ascii="仿宋_GB2312" w:hAnsi="仿宋" w:hint="eastAsia"/>
          <w:color w:val="auto"/>
          <w:sz w:val="30"/>
        </w:rPr>
        <w:t>。</w:t>
      </w:r>
    </w:p>
    <w:p w:rsidR="008A000D" w:rsidRDefault="008A000D" w:rsidP="008A000D">
      <w:pPr>
        <w:pStyle w:val="a3"/>
        <w:widowControl w:val="0"/>
        <w:adjustRightInd w:val="0"/>
        <w:spacing w:before="0" w:beforeAutospacing="0" w:after="0" w:afterAutospacing="0"/>
        <w:ind w:firstLineChars="200" w:firstLine="620"/>
        <w:rPr>
          <w:rFonts w:ascii="楷体_GB2312" w:eastAsia="楷体_GB2312" w:hAnsi="仿宋" w:hint="eastAsia"/>
          <w:color w:val="auto"/>
          <w:sz w:val="30"/>
        </w:rPr>
      </w:pPr>
      <w:r>
        <w:rPr>
          <w:rFonts w:ascii="楷体_GB2312" w:eastAsia="楷体_GB2312" w:hAnsi="仿宋" w:cs="仿宋" w:hint="eastAsia"/>
          <w:bCs/>
          <w:color w:val="auto"/>
          <w:sz w:val="30"/>
        </w:rPr>
        <w:t>特别提示：在审核材料过程中，对于“中国教师资格网”无法直接比对验证的学历，申请人须提交《中国高等教育学历认证报告》（</w:t>
      </w:r>
      <w:proofErr w:type="gramStart"/>
      <w:r>
        <w:rPr>
          <w:rFonts w:ascii="楷体_GB2312" w:eastAsia="楷体_GB2312" w:hAnsi="仿宋" w:cs="仿宋" w:hint="eastAsia"/>
          <w:bCs/>
          <w:color w:val="auto"/>
          <w:sz w:val="30"/>
        </w:rPr>
        <w:t>在学信网</w:t>
      </w:r>
      <w:proofErr w:type="gramEnd"/>
      <w:r>
        <w:rPr>
          <w:rFonts w:ascii="楷体_GB2312" w:eastAsia="楷体_GB2312" w:hAnsi="仿宋" w:cs="仿宋" w:hint="eastAsia"/>
          <w:bCs/>
          <w:color w:val="auto"/>
          <w:sz w:val="30"/>
        </w:rPr>
        <w:t>在线申请）。建议申请人提前</w:t>
      </w:r>
      <w:proofErr w:type="gramStart"/>
      <w:r>
        <w:rPr>
          <w:rFonts w:ascii="楷体_GB2312" w:eastAsia="楷体_GB2312" w:hAnsi="仿宋" w:cs="仿宋" w:hint="eastAsia"/>
          <w:bCs/>
          <w:color w:val="auto"/>
          <w:sz w:val="30"/>
        </w:rPr>
        <w:t>在学信网</w:t>
      </w:r>
      <w:proofErr w:type="gramEnd"/>
      <w:r>
        <w:rPr>
          <w:rFonts w:ascii="楷体_GB2312" w:eastAsia="楷体_GB2312" w:hAnsi="仿宋" w:cs="仿宋" w:hint="eastAsia"/>
          <w:bCs/>
          <w:color w:val="auto"/>
          <w:sz w:val="30"/>
        </w:rPr>
        <w:t>验证学历，无法验证的及时申请学历认证报告。</w:t>
      </w:r>
    </w:p>
    <w:p w:rsidR="008A000D" w:rsidRDefault="008A000D" w:rsidP="008A000D">
      <w:pPr>
        <w:pStyle w:val="a3"/>
        <w:widowControl w:val="0"/>
        <w:spacing w:before="0" w:beforeAutospacing="0" w:after="0" w:afterAutospacing="0"/>
        <w:ind w:firstLineChars="200" w:firstLine="620"/>
        <w:rPr>
          <w:rFonts w:ascii="仿宋_GB2312" w:hint="eastAsia"/>
          <w:color w:val="auto"/>
        </w:rPr>
      </w:pPr>
      <w:r w:rsidRPr="004462AA">
        <w:rPr>
          <w:rFonts w:ascii="仿宋_GB2312" w:hAnsi="仿宋" w:hint="eastAsia"/>
          <w:color w:val="auto"/>
          <w:sz w:val="30"/>
        </w:rPr>
        <w:t>申请人的个人材料要准确、清晰（有关材料整理问题说明见附件</w:t>
      </w:r>
      <w:r w:rsidR="004462AA" w:rsidRPr="004462AA">
        <w:rPr>
          <w:rFonts w:ascii="仿宋_GB2312" w:hAnsi="仿宋"/>
          <w:color w:val="auto"/>
          <w:sz w:val="30"/>
        </w:rPr>
        <w:t>2</w:t>
      </w:r>
      <w:r w:rsidRPr="004462AA">
        <w:rPr>
          <w:rFonts w:ascii="仿宋_GB2312" w:hAnsi="仿宋" w:hint="eastAsia"/>
          <w:color w:val="auto"/>
          <w:sz w:val="30"/>
        </w:rPr>
        <w:t>），每人一袋。除体检表外各类证书原件审验核对无误后现场返还单</w:t>
      </w:r>
      <w:r>
        <w:rPr>
          <w:rFonts w:ascii="仿宋_GB2312" w:hAnsi="仿宋" w:hint="eastAsia"/>
          <w:color w:val="auto"/>
          <w:sz w:val="30"/>
        </w:rPr>
        <w:t>位退回个人。</w:t>
      </w:r>
    </w:p>
    <w:p w:rsidR="008A000D" w:rsidRDefault="008A000D" w:rsidP="008A000D">
      <w:pPr>
        <w:pStyle w:val="a3"/>
        <w:widowControl w:val="0"/>
        <w:spacing w:before="0" w:beforeAutospacing="0" w:after="0" w:afterAutospacing="0"/>
        <w:ind w:firstLineChars="200" w:firstLine="620"/>
        <w:rPr>
          <w:rStyle w:val="a4"/>
          <w:rFonts w:ascii="黑体" w:eastAsia="黑体" w:hAnsi="黑体" w:hint="eastAsia"/>
          <w:b w:val="0"/>
        </w:rPr>
      </w:pPr>
      <w:r>
        <w:rPr>
          <w:rStyle w:val="a4"/>
          <w:rFonts w:ascii="黑体" w:eastAsia="黑体" w:hAnsi="黑体" w:hint="eastAsia"/>
          <w:b w:val="0"/>
          <w:color w:val="auto"/>
          <w:sz w:val="30"/>
        </w:rPr>
        <w:t>五、注意事项</w:t>
      </w:r>
    </w:p>
    <w:p w:rsidR="008A000D" w:rsidRDefault="008A000D" w:rsidP="008A000D">
      <w:pPr>
        <w:pStyle w:val="a3"/>
        <w:widowControl w:val="0"/>
        <w:spacing w:before="0" w:beforeAutospacing="0" w:after="0" w:afterAutospacing="0"/>
        <w:ind w:firstLineChars="200" w:firstLine="620"/>
        <w:rPr>
          <w:rFonts w:ascii="仿宋_GB2312" w:hAnsi="仿宋" w:hint="eastAsia"/>
          <w:color w:val="auto"/>
        </w:rPr>
      </w:pPr>
      <w:r>
        <w:rPr>
          <w:rFonts w:ascii="仿宋_GB2312" w:hAnsi="仿宋" w:hint="eastAsia"/>
          <w:color w:val="auto"/>
          <w:sz w:val="30"/>
        </w:rPr>
        <w:t>1.</w:t>
      </w:r>
      <w:r w:rsidR="000774CB">
        <w:rPr>
          <w:rFonts w:ascii="仿宋_GB2312" w:hAnsi="仿宋" w:hint="eastAsia"/>
          <w:color w:val="auto"/>
          <w:sz w:val="30"/>
        </w:rPr>
        <w:t>申请人</w:t>
      </w:r>
      <w:r>
        <w:rPr>
          <w:rFonts w:ascii="仿宋_GB2312" w:hAnsi="仿宋" w:hint="eastAsia"/>
          <w:color w:val="auto"/>
          <w:sz w:val="30"/>
        </w:rPr>
        <w:t>正式提交的材料，凡种类不齐全，整理不规范，有缺失或不能证明有关情况的，将予以退回并取消申请人当次面试或直接认定资格。</w:t>
      </w:r>
    </w:p>
    <w:p w:rsidR="008A000D" w:rsidRDefault="008A000D" w:rsidP="000774CB">
      <w:pPr>
        <w:pStyle w:val="a3"/>
        <w:widowControl w:val="0"/>
        <w:spacing w:before="0" w:beforeAutospacing="0" w:after="0" w:afterAutospacing="0"/>
        <w:ind w:firstLineChars="200" w:firstLine="620"/>
        <w:rPr>
          <w:rFonts w:ascii="仿宋_GB2312" w:hAnsi="仿宋" w:hint="eastAsia"/>
          <w:color w:val="auto"/>
          <w:sz w:val="30"/>
        </w:rPr>
      </w:pPr>
      <w:r>
        <w:rPr>
          <w:rFonts w:ascii="仿宋_GB2312" w:hAnsi="仿宋" w:hint="eastAsia"/>
          <w:color w:val="auto"/>
          <w:sz w:val="30"/>
        </w:rPr>
        <w:lastRenderedPageBreak/>
        <w:t>2.</w:t>
      </w:r>
      <w:r w:rsidR="000774CB">
        <w:rPr>
          <w:rFonts w:ascii="仿宋_GB2312" w:hAnsi="仿宋" w:hint="eastAsia"/>
          <w:color w:val="auto"/>
          <w:sz w:val="30"/>
        </w:rPr>
        <w:t>各学院</w:t>
      </w:r>
      <w:r>
        <w:rPr>
          <w:rFonts w:ascii="仿宋_GB2312" w:hAnsi="仿宋" w:hint="eastAsia"/>
          <w:color w:val="auto"/>
          <w:sz w:val="30"/>
        </w:rPr>
        <w:t>要做好宣传，将网报、体检、提交材料和面试时间通知本单位相关人员。</w:t>
      </w:r>
    </w:p>
    <w:p w:rsidR="008A000D" w:rsidRDefault="008A000D" w:rsidP="008A000D">
      <w:pPr>
        <w:ind w:leftChars="200" w:left="1859" w:hangingChars="400" w:hanging="1239"/>
        <w:jc w:val="left"/>
        <w:rPr>
          <w:rFonts w:ascii="仿宋_GB2312" w:hAnsi="仿宋" w:cs="宋体"/>
          <w:kern w:val="0"/>
        </w:rPr>
      </w:pPr>
    </w:p>
    <w:p w:rsidR="000774CB" w:rsidRPr="000774CB" w:rsidRDefault="000774CB" w:rsidP="008A000D">
      <w:pPr>
        <w:ind w:leftChars="200" w:left="1859" w:hangingChars="400" w:hanging="1239"/>
        <w:jc w:val="left"/>
        <w:rPr>
          <w:rFonts w:ascii="仿宋_GB2312" w:hAnsi="仿宋" w:cs="宋体" w:hint="eastAsia"/>
          <w:kern w:val="0"/>
        </w:rPr>
      </w:pPr>
    </w:p>
    <w:p w:rsidR="008A000D" w:rsidRDefault="008A000D" w:rsidP="000774CB">
      <w:pPr>
        <w:ind w:leftChars="200" w:left="1859" w:hangingChars="400" w:hanging="1239"/>
        <w:jc w:val="left"/>
        <w:rPr>
          <w:rFonts w:ascii="仿宋_GB2312" w:hAnsi="仿宋" w:cs="宋体" w:hint="eastAsia"/>
          <w:kern w:val="0"/>
        </w:rPr>
      </w:pPr>
      <w:r>
        <w:rPr>
          <w:rFonts w:ascii="仿宋_GB2312" w:hAnsi="仿宋" w:cs="宋体" w:hint="eastAsia"/>
          <w:kern w:val="0"/>
        </w:rPr>
        <w:t>附件：1.</w:t>
      </w:r>
      <w:r w:rsidR="000774CB">
        <w:rPr>
          <w:rFonts w:ascii="仿宋_GB2312" w:hAnsi="仿宋" w:hint="eastAsia"/>
        </w:rPr>
        <w:t xml:space="preserve"> </w:t>
      </w:r>
      <w:r w:rsidR="004462AA" w:rsidRPr="004462AA">
        <w:rPr>
          <w:rFonts w:ascii="仿宋_GB2312" w:hAnsi="仿宋" w:hint="eastAsia"/>
        </w:rPr>
        <w:t>河南农业大学申请认定高等学校教师资格人员花名册</w:t>
      </w:r>
    </w:p>
    <w:p w:rsidR="008A000D" w:rsidRDefault="004462AA" w:rsidP="008A000D">
      <w:pPr>
        <w:ind w:leftChars="500" w:left="1856" w:hangingChars="99" w:hanging="307"/>
        <w:jc w:val="left"/>
        <w:rPr>
          <w:rFonts w:ascii="仿宋_GB2312" w:hAnsi="仿宋" w:cs="宋体" w:hint="eastAsia"/>
          <w:kern w:val="0"/>
        </w:rPr>
      </w:pPr>
      <w:r>
        <w:rPr>
          <w:rFonts w:ascii="仿宋_GB2312" w:hAnsi="仿宋" w:cs="宋体"/>
          <w:kern w:val="0"/>
        </w:rPr>
        <w:t>2</w:t>
      </w:r>
      <w:r w:rsidR="008A000D">
        <w:rPr>
          <w:rFonts w:ascii="仿宋_GB2312" w:hAnsi="仿宋" w:cs="宋体" w:hint="eastAsia"/>
          <w:kern w:val="0"/>
        </w:rPr>
        <w:t>.关于高等学校教师资格认定材料受理工作有关问题的说明</w:t>
      </w:r>
    </w:p>
    <w:p w:rsidR="008A000D" w:rsidRDefault="008A000D" w:rsidP="008A000D">
      <w:pPr>
        <w:jc w:val="center"/>
        <w:rPr>
          <w:rFonts w:ascii="仿宋_GB2312" w:hAnsi="仿宋" w:cs="宋体" w:hint="eastAsia"/>
          <w:kern w:val="0"/>
        </w:rPr>
      </w:pPr>
    </w:p>
    <w:p w:rsidR="008A000D" w:rsidRDefault="008A000D" w:rsidP="008A000D">
      <w:pPr>
        <w:jc w:val="center"/>
        <w:rPr>
          <w:rFonts w:ascii="仿宋_GB2312" w:hAnsi="仿宋" w:cs="宋体"/>
          <w:kern w:val="0"/>
        </w:rPr>
      </w:pPr>
    </w:p>
    <w:p w:rsidR="00EF55F8" w:rsidRDefault="00EF55F8" w:rsidP="008A000D">
      <w:pPr>
        <w:jc w:val="center"/>
        <w:rPr>
          <w:rFonts w:ascii="仿宋_GB2312" w:hAnsi="仿宋" w:cs="宋体" w:hint="eastAsia"/>
          <w:kern w:val="0"/>
        </w:rPr>
      </w:pPr>
      <w:r>
        <w:rPr>
          <w:rFonts w:ascii="仿宋_GB2312" w:hAnsi="仿宋" w:cs="宋体" w:hint="eastAsia"/>
          <w:kern w:val="0"/>
        </w:rPr>
        <w:t xml:space="preserve"> </w:t>
      </w:r>
      <w:r>
        <w:rPr>
          <w:rFonts w:ascii="仿宋_GB2312" w:hAnsi="仿宋" w:cs="宋体"/>
          <w:kern w:val="0"/>
        </w:rPr>
        <w:t xml:space="preserve">                    </w:t>
      </w:r>
      <w:bookmarkStart w:id="0" w:name="_GoBack"/>
      <w:bookmarkEnd w:id="0"/>
      <w:r>
        <w:rPr>
          <w:rFonts w:ascii="仿宋_GB2312" w:hAnsi="仿宋" w:cs="宋体" w:hint="eastAsia"/>
          <w:kern w:val="0"/>
        </w:rPr>
        <w:t>人事处</w:t>
      </w:r>
    </w:p>
    <w:p w:rsidR="008A000D" w:rsidRDefault="008A000D" w:rsidP="004462AA">
      <w:pPr>
        <w:jc w:val="center"/>
        <w:rPr>
          <w:rFonts w:ascii="仿宋_GB2312"/>
        </w:rPr>
        <w:sectPr w:rsidR="008A000D">
          <w:pgSz w:w="11906" w:h="16838"/>
          <w:pgMar w:top="1928" w:right="1588" w:bottom="1985" w:left="1644" w:header="0" w:footer="1588" w:gutter="0"/>
          <w:cols w:space="720"/>
          <w:docGrid w:type="linesAndChars" w:linePitch="587" w:charSpace="2004"/>
        </w:sectPr>
      </w:pPr>
      <w:r>
        <w:rPr>
          <w:rFonts w:ascii="仿宋_GB2312" w:hAnsi="仿宋" w:cs="宋体" w:hint="eastAsia"/>
          <w:kern w:val="0"/>
        </w:rPr>
        <w:t xml:space="preserve">                           2019年4月1</w:t>
      </w:r>
      <w:r w:rsidR="004462AA">
        <w:rPr>
          <w:rFonts w:ascii="仿宋_GB2312" w:hAnsi="仿宋" w:cs="宋体"/>
          <w:kern w:val="0"/>
        </w:rPr>
        <w:t>2</w:t>
      </w:r>
      <w:r>
        <w:rPr>
          <w:rFonts w:ascii="仿宋_GB2312" w:hAnsi="仿宋" w:cs="宋体" w:hint="eastAsia"/>
          <w:kern w:val="0"/>
        </w:rPr>
        <w:t>日</w:t>
      </w:r>
    </w:p>
    <w:p w:rsidR="008A000D" w:rsidRDefault="008A000D" w:rsidP="008A000D">
      <w:pPr>
        <w:widowControl/>
        <w:jc w:val="left"/>
        <w:rPr>
          <w:rFonts w:ascii="黑体" w:eastAsia="黑体" w:hint="eastAsia"/>
          <w:bCs/>
        </w:rPr>
      </w:pPr>
      <w:r>
        <w:rPr>
          <w:rFonts w:ascii="黑体" w:eastAsia="黑体" w:hint="eastAsia"/>
          <w:bCs/>
        </w:rPr>
        <w:lastRenderedPageBreak/>
        <w:t>附件</w:t>
      </w:r>
      <w:r w:rsidR="004462AA">
        <w:rPr>
          <w:rFonts w:ascii="黑体" w:eastAsia="黑体"/>
          <w:bCs/>
        </w:rPr>
        <w:t>1</w:t>
      </w:r>
    </w:p>
    <w:p w:rsidR="008A000D" w:rsidRDefault="004462AA" w:rsidP="008A000D">
      <w:pPr>
        <w:widowControl/>
        <w:snapToGrid w:val="0"/>
        <w:jc w:val="center"/>
        <w:rPr>
          <w:rFonts w:ascii="方正小标宋简体" w:eastAsia="方正小标宋简体" w:hint="eastAsia"/>
          <w:bCs/>
          <w:sz w:val="44"/>
          <w:szCs w:val="44"/>
        </w:rPr>
      </w:pPr>
      <w:r>
        <w:rPr>
          <w:rFonts w:ascii="方正小标宋简体" w:eastAsia="方正小标宋简体" w:hint="eastAsia"/>
          <w:bCs/>
          <w:sz w:val="44"/>
          <w:szCs w:val="44"/>
        </w:rPr>
        <w:t>河南农业大学</w:t>
      </w:r>
      <w:r w:rsidR="008A000D">
        <w:rPr>
          <w:rFonts w:ascii="方正小标宋简体" w:eastAsia="方正小标宋简体" w:hint="eastAsia"/>
          <w:bCs/>
          <w:sz w:val="44"/>
          <w:szCs w:val="44"/>
        </w:rPr>
        <w:t>申请认定高等学校教师资格人员花名册</w:t>
      </w:r>
    </w:p>
    <w:p w:rsidR="008A000D" w:rsidRDefault="004462AA" w:rsidP="008A000D">
      <w:pPr>
        <w:snapToGrid w:val="0"/>
        <w:rPr>
          <w:rFonts w:ascii="楷体_GB2312" w:eastAsia="楷体_GB2312" w:hint="eastAsia"/>
          <w:bCs/>
        </w:rPr>
      </w:pPr>
      <w:r>
        <w:rPr>
          <w:rFonts w:ascii="楷体_GB2312" w:eastAsia="楷体_GB2312" w:hint="eastAsia"/>
          <w:bCs/>
        </w:rPr>
        <w:t>学院</w:t>
      </w:r>
      <w:r w:rsidR="008A000D">
        <w:rPr>
          <w:rFonts w:ascii="楷体_GB2312" w:eastAsia="楷体_GB2312" w:hint="eastAsia"/>
          <w:bCs/>
        </w:rPr>
        <w:t>（盖章）：                                    申请人员类别：</w:t>
      </w:r>
    </w:p>
    <w:tbl>
      <w:tblPr>
        <w:tblW w:w="0" w:type="auto"/>
        <w:jc w:val="center"/>
        <w:tblCellMar>
          <w:left w:w="0" w:type="dxa"/>
          <w:right w:w="0" w:type="dxa"/>
        </w:tblCellMar>
        <w:tblLook w:val="04A0" w:firstRow="1" w:lastRow="0" w:firstColumn="1" w:lastColumn="0" w:noHBand="0" w:noVBand="1"/>
      </w:tblPr>
      <w:tblGrid>
        <w:gridCol w:w="668"/>
        <w:gridCol w:w="669"/>
        <w:gridCol w:w="669"/>
        <w:gridCol w:w="669"/>
        <w:gridCol w:w="1280"/>
        <w:gridCol w:w="1343"/>
        <w:gridCol w:w="1343"/>
        <w:gridCol w:w="1382"/>
        <w:gridCol w:w="2000"/>
        <w:gridCol w:w="1560"/>
        <w:gridCol w:w="1332"/>
      </w:tblGrid>
      <w:tr w:rsidR="008A000D" w:rsidTr="008A000D">
        <w:trPr>
          <w:trHeight w:val="510"/>
          <w:jc w:val="center"/>
        </w:trPr>
        <w:tc>
          <w:tcPr>
            <w:tcW w:w="69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A000D" w:rsidRDefault="008A000D">
            <w:pPr>
              <w:snapToGrid w:val="0"/>
              <w:jc w:val="center"/>
              <w:rPr>
                <w:rFonts w:ascii="黑体" w:eastAsia="黑体" w:hAnsi="宋体" w:hint="eastAsia"/>
                <w:bCs/>
                <w:sz w:val="24"/>
                <w:szCs w:val="28"/>
              </w:rPr>
            </w:pPr>
            <w:r>
              <w:rPr>
                <w:rFonts w:ascii="黑体" w:eastAsia="黑体" w:hint="eastAsia"/>
                <w:bCs/>
                <w:sz w:val="24"/>
                <w:szCs w:val="28"/>
              </w:rPr>
              <w:t>序号</w:t>
            </w:r>
          </w:p>
        </w:tc>
        <w:tc>
          <w:tcPr>
            <w:tcW w:w="692"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8A000D" w:rsidRDefault="008A000D">
            <w:pPr>
              <w:snapToGrid w:val="0"/>
              <w:jc w:val="center"/>
              <w:rPr>
                <w:rFonts w:ascii="黑体" w:eastAsia="黑体" w:hAnsi="宋体" w:hint="eastAsia"/>
                <w:bCs/>
                <w:sz w:val="24"/>
                <w:szCs w:val="28"/>
              </w:rPr>
            </w:pPr>
            <w:r>
              <w:rPr>
                <w:rFonts w:ascii="黑体" w:eastAsia="黑体" w:hint="eastAsia"/>
                <w:bCs/>
                <w:sz w:val="24"/>
                <w:szCs w:val="28"/>
              </w:rPr>
              <w:t>姓名</w:t>
            </w:r>
          </w:p>
        </w:tc>
        <w:tc>
          <w:tcPr>
            <w:tcW w:w="692"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8A000D" w:rsidRDefault="008A000D">
            <w:pPr>
              <w:snapToGrid w:val="0"/>
              <w:jc w:val="center"/>
              <w:rPr>
                <w:rFonts w:ascii="黑体" w:eastAsia="黑体" w:hAnsi="宋体" w:hint="eastAsia"/>
                <w:bCs/>
                <w:sz w:val="24"/>
                <w:szCs w:val="28"/>
              </w:rPr>
            </w:pPr>
            <w:r>
              <w:rPr>
                <w:rFonts w:ascii="黑体" w:eastAsia="黑体" w:hint="eastAsia"/>
                <w:bCs/>
                <w:sz w:val="24"/>
                <w:szCs w:val="28"/>
              </w:rPr>
              <w:t>性别</w:t>
            </w:r>
          </w:p>
        </w:tc>
        <w:tc>
          <w:tcPr>
            <w:tcW w:w="692"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8A000D" w:rsidRDefault="008A000D">
            <w:pPr>
              <w:snapToGrid w:val="0"/>
              <w:jc w:val="center"/>
              <w:rPr>
                <w:rFonts w:ascii="黑体" w:eastAsia="黑体" w:hAnsi="宋体" w:hint="eastAsia"/>
                <w:bCs/>
                <w:sz w:val="24"/>
                <w:szCs w:val="28"/>
              </w:rPr>
            </w:pPr>
            <w:r>
              <w:rPr>
                <w:rFonts w:ascii="黑体" w:eastAsia="黑体" w:hint="eastAsia"/>
                <w:bCs/>
                <w:sz w:val="24"/>
                <w:szCs w:val="28"/>
              </w:rPr>
              <w:t>民族</w:t>
            </w:r>
          </w:p>
        </w:tc>
        <w:tc>
          <w:tcPr>
            <w:tcW w:w="1339"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8A000D" w:rsidRDefault="008A000D">
            <w:pPr>
              <w:snapToGrid w:val="0"/>
              <w:jc w:val="center"/>
              <w:rPr>
                <w:rFonts w:ascii="黑体" w:eastAsia="黑体" w:hAnsi="宋体" w:hint="eastAsia"/>
                <w:bCs/>
                <w:sz w:val="24"/>
                <w:szCs w:val="28"/>
              </w:rPr>
            </w:pPr>
            <w:r>
              <w:rPr>
                <w:rFonts w:ascii="黑体" w:eastAsia="黑体" w:hint="eastAsia"/>
                <w:bCs/>
                <w:sz w:val="24"/>
                <w:szCs w:val="28"/>
              </w:rPr>
              <w:t>出生年月</w:t>
            </w:r>
          </w:p>
        </w:tc>
        <w:tc>
          <w:tcPr>
            <w:tcW w:w="1405"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8A000D" w:rsidRDefault="008A000D">
            <w:pPr>
              <w:snapToGrid w:val="0"/>
              <w:jc w:val="center"/>
              <w:rPr>
                <w:rFonts w:ascii="黑体" w:eastAsia="黑体" w:hAnsi="宋体" w:hint="eastAsia"/>
                <w:bCs/>
                <w:sz w:val="24"/>
                <w:szCs w:val="28"/>
              </w:rPr>
            </w:pPr>
            <w:r>
              <w:rPr>
                <w:rFonts w:ascii="黑体" w:eastAsia="黑体" w:hint="eastAsia"/>
                <w:bCs/>
                <w:sz w:val="24"/>
                <w:szCs w:val="28"/>
              </w:rPr>
              <w:t>身份证号码</w:t>
            </w:r>
          </w:p>
        </w:tc>
        <w:tc>
          <w:tcPr>
            <w:tcW w:w="1405"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8A000D" w:rsidRDefault="008A000D">
            <w:pPr>
              <w:snapToGrid w:val="0"/>
              <w:jc w:val="center"/>
              <w:rPr>
                <w:rFonts w:ascii="黑体" w:eastAsia="黑体" w:hAnsi="宋体" w:hint="eastAsia"/>
                <w:bCs/>
                <w:sz w:val="24"/>
                <w:szCs w:val="28"/>
              </w:rPr>
            </w:pPr>
            <w:r>
              <w:rPr>
                <w:rFonts w:ascii="黑体" w:eastAsia="黑体" w:hint="eastAsia"/>
                <w:bCs/>
                <w:sz w:val="24"/>
                <w:szCs w:val="28"/>
              </w:rPr>
              <w:t>毕业院校</w:t>
            </w:r>
          </w:p>
        </w:tc>
        <w:tc>
          <w:tcPr>
            <w:tcW w:w="1447"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8A000D" w:rsidRDefault="008A000D">
            <w:pPr>
              <w:snapToGrid w:val="0"/>
              <w:jc w:val="center"/>
              <w:rPr>
                <w:rFonts w:ascii="黑体" w:eastAsia="黑体" w:hAnsi="宋体" w:hint="eastAsia"/>
                <w:bCs/>
                <w:sz w:val="24"/>
                <w:szCs w:val="28"/>
              </w:rPr>
            </w:pPr>
            <w:r>
              <w:rPr>
                <w:rFonts w:ascii="黑体" w:eastAsia="黑体" w:hint="eastAsia"/>
                <w:bCs/>
                <w:sz w:val="24"/>
                <w:szCs w:val="28"/>
              </w:rPr>
              <w:t>所学专业</w:t>
            </w:r>
          </w:p>
        </w:tc>
        <w:tc>
          <w:tcPr>
            <w:tcW w:w="373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8A000D" w:rsidRDefault="008A000D">
            <w:pPr>
              <w:snapToGrid w:val="0"/>
              <w:jc w:val="center"/>
              <w:rPr>
                <w:rFonts w:ascii="黑体" w:eastAsia="黑体" w:hAnsi="宋体" w:hint="eastAsia"/>
                <w:bCs/>
                <w:sz w:val="24"/>
                <w:szCs w:val="28"/>
              </w:rPr>
            </w:pPr>
            <w:r>
              <w:rPr>
                <w:rFonts w:ascii="黑体" w:eastAsia="黑体" w:hint="eastAsia"/>
                <w:bCs/>
                <w:sz w:val="24"/>
                <w:szCs w:val="28"/>
              </w:rPr>
              <w:t>申请任教学科</w:t>
            </w:r>
          </w:p>
        </w:tc>
        <w:tc>
          <w:tcPr>
            <w:tcW w:w="1395" w:type="dxa"/>
            <w:vMerge w:val="restart"/>
            <w:tcBorders>
              <w:top w:val="single" w:sz="4" w:space="0" w:color="auto"/>
              <w:left w:val="nil"/>
              <w:bottom w:val="single" w:sz="4" w:space="0" w:color="auto"/>
              <w:right w:val="single" w:sz="4" w:space="0" w:color="auto"/>
            </w:tcBorders>
            <w:vAlign w:val="center"/>
            <w:hideMark/>
          </w:tcPr>
          <w:p w:rsidR="008A000D" w:rsidRDefault="008A000D">
            <w:pPr>
              <w:snapToGrid w:val="0"/>
              <w:jc w:val="center"/>
              <w:rPr>
                <w:rFonts w:ascii="黑体" w:eastAsia="黑体" w:hint="eastAsia"/>
                <w:bCs/>
                <w:sz w:val="24"/>
                <w:szCs w:val="28"/>
              </w:rPr>
            </w:pPr>
            <w:r>
              <w:rPr>
                <w:rFonts w:ascii="黑体" w:eastAsia="黑体" w:hint="eastAsia"/>
                <w:bCs/>
                <w:sz w:val="24"/>
                <w:szCs w:val="28"/>
              </w:rPr>
              <w:t>备注</w:t>
            </w:r>
          </w:p>
        </w:tc>
      </w:tr>
      <w:tr w:rsidR="008A000D" w:rsidTr="008A000D">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000D" w:rsidRDefault="008A000D">
            <w:pPr>
              <w:widowControl/>
              <w:jc w:val="left"/>
              <w:rPr>
                <w:rFonts w:ascii="黑体" w:eastAsia="黑体" w:hAnsi="宋体"/>
                <w:bCs/>
                <w:sz w:val="24"/>
                <w:szCs w:val="28"/>
              </w:rPr>
            </w:pPr>
          </w:p>
        </w:tc>
        <w:tc>
          <w:tcPr>
            <w:tcW w:w="0" w:type="auto"/>
            <w:vMerge/>
            <w:tcBorders>
              <w:top w:val="single" w:sz="4" w:space="0" w:color="auto"/>
              <w:left w:val="nil"/>
              <w:bottom w:val="single" w:sz="4" w:space="0" w:color="auto"/>
              <w:right w:val="single" w:sz="4" w:space="0" w:color="auto"/>
            </w:tcBorders>
            <w:vAlign w:val="center"/>
            <w:hideMark/>
          </w:tcPr>
          <w:p w:rsidR="008A000D" w:rsidRDefault="008A000D">
            <w:pPr>
              <w:widowControl/>
              <w:jc w:val="left"/>
              <w:rPr>
                <w:rFonts w:ascii="黑体" w:eastAsia="黑体" w:hAnsi="宋体"/>
                <w:bCs/>
                <w:sz w:val="24"/>
                <w:szCs w:val="28"/>
              </w:rPr>
            </w:pPr>
          </w:p>
        </w:tc>
        <w:tc>
          <w:tcPr>
            <w:tcW w:w="0" w:type="auto"/>
            <w:vMerge/>
            <w:tcBorders>
              <w:top w:val="single" w:sz="4" w:space="0" w:color="auto"/>
              <w:left w:val="nil"/>
              <w:bottom w:val="single" w:sz="4" w:space="0" w:color="auto"/>
              <w:right w:val="single" w:sz="4" w:space="0" w:color="auto"/>
            </w:tcBorders>
            <w:vAlign w:val="center"/>
            <w:hideMark/>
          </w:tcPr>
          <w:p w:rsidR="008A000D" w:rsidRDefault="008A000D">
            <w:pPr>
              <w:widowControl/>
              <w:jc w:val="left"/>
              <w:rPr>
                <w:rFonts w:ascii="黑体" w:eastAsia="黑体" w:hAnsi="宋体"/>
                <w:bCs/>
                <w:sz w:val="24"/>
                <w:szCs w:val="28"/>
              </w:rPr>
            </w:pPr>
          </w:p>
        </w:tc>
        <w:tc>
          <w:tcPr>
            <w:tcW w:w="0" w:type="auto"/>
            <w:vMerge/>
            <w:tcBorders>
              <w:top w:val="single" w:sz="4" w:space="0" w:color="auto"/>
              <w:left w:val="nil"/>
              <w:bottom w:val="single" w:sz="4" w:space="0" w:color="auto"/>
              <w:right w:val="single" w:sz="4" w:space="0" w:color="auto"/>
            </w:tcBorders>
            <w:vAlign w:val="center"/>
            <w:hideMark/>
          </w:tcPr>
          <w:p w:rsidR="008A000D" w:rsidRDefault="008A000D">
            <w:pPr>
              <w:widowControl/>
              <w:jc w:val="left"/>
              <w:rPr>
                <w:rFonts w:ascii="黑体" w:eastAsia="黑体" w:hAnsi="宋体"/>
                <w:bCs/>
                <w:sz w:val="24"/>
                <w:szCs w:val="28"/>
              </w:rPr>
            </w:pPr>
          </w:p>
        </w:tc>
        <w:tc>
          <w:tcPr>
            <w:tcW w:w="0" w:type="auto"/>
            <w:vMerge/>
            <w:tcBorders>
              <w:top w:val="single" w:sz="4" w:space="0" w:color="auto"/>
              <w:left w:val="nil"/>
              <w:bottom w:val="single" w:sz="4" w:space="0" w:color="auto"/>
              <w:right w:val="single" w:sz="4" w:space="0" w:color="auto"/>
            </w:tcBorders>
            <w:vAlign w:val="center"/>
            <w:hideMark/>
          </w:tcPr>
          <w:p w:rsidR="008A000D" w:rsidRDefault="008A000D">
            <w:pPr>
              <w:widowControl/>
              <w:jc w:val="left"/>
              <w:rPr>
                <w:rFonts w:ascii="黑体" w:eastAsia="黑体" w:hAnsi="宋体"/>
                <w:bCs/>
                <w:sz w:val="24"/>
                <w:szCs w:val="28"/>
              </w:rPr>
            </w:pPr>
          </w:p>
        </w:tc>
        <w:tc>
          <w:tcPr>
            <w:tcW w:w="0" w:type="auto"/>
            <w:vMerge/>
            <w:tcBorders>
              <w:top w:val="single" w:sz="4" w:space="0" w:color="auto"/>
              <w:left w:val="nil"/>
              <w:bottom w:val="single" w:sz="4" w:space="0" w:color="auto"/>
              <w:right w:val="single" w:sz="4" w:space="0" w:color="auto"/>
            </w:tcBorders>
            <w:vAlign w:val="center"/>
            <w:hideMark/>
          </w:tcPr>
          <w:p w:rsidR="008A000D" w:rsidRDefault="008A000D">
            <w:pPr>
              <w:widowControl/>
              <w:jc w:val="left"/>
              <w:rPr>
                <w:rFonts w:ascii="黑体" w:eastAsia="黑体" w:hAnsi="宋体"/>
                <w:bCs/>
                <w:sz w:val="24"/>
                <w:szCs w:val="28"/>
              </w:rPr>
            </w:pPr>
          </w:p>
        </w:tc>
        <w:tc>
          <w:tcPr>
            <w:tcW w:w="0" w:type="auto"/>
            <w:vMerge/>
            <w:tcBorders>
              <w:top w:val="single" w:sz="4" w:space="0" w:color="auto"/>
              <w:left w:val="nil"/>
              <w:bottom w:val="single" w:sz="4" w:space="0" w:color="auto"/>
              <w:right w:val="single" w:sz="4" w:space="0" w:color="auto"/>
            </w:tcBorders>
            <w:vAlign w:val="center"/>
            <w:hideMark/>
          </w:tcPr>
          <w:p w:rsidR="008A000D" w:rsidRDefault="008A000D">
            <w:pPr>
              <w:widowControl/>
              <w:jc w:val="left"/>
              <w:rPr>
                <w:rFonts w:ascii="黑体" w:eastAsia="黑体" w:hAnsi="宋体"/>
                <w:bCs/>
                <w:sz w:val="24"/>
                <w:szCs w:val="28"/>
              </w:rPr>
            </w:pPr>
          </w:p>
        </w:tc>
        <w:tc>
          <w:tcPr>
            <w:tcW w:w="0" w:type="auto"/>
            <w:vMerge/>
            <w:tcBorders>
              <w:top w:val="single" w:sz="4" w:space="0" w:color="auto"/>
              <w:left w:val="nil"/>
              <w:bottom w:val="single" w:sz="4" w:space="0" w:color="auto"/>
              <w:right w:val="single" w:sz="4" w:space="0" w:color="auto"/>
            </w:tcBorders>
            <w:vAlign w:val="center"/>
            <w:hideMark/>
          </w:tcPr>
          <w:p w:rsidR="008A000D" w:rsidRDefault="008A000D">
            <w:pPr>
              <w:widowControl/>
              <w:jc w:val="left"/>
              <w:rPr>
                <w:rFonts w:ascii="黑体" w:eastAsia="黑体" w:hAnsi="宋体"/>
                <w:bCs/>
                <w:sz w:val="24"/>
                <w:szCs w:val="28"/>
              </w:rPr>
            </w:pPr>
          </w:p>
        </w:tc>
        <w:tc>
          <w:tcPr>
            <w:tcW w:w="21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8A000D" w:rsidRDefault="008A000D">
            <w:pPr>
              <w:snapToGrid w:val="0"/>
              <w:jc w:val="center"/>
              <w:rPr>
                <w:rFonts w:ascii="黑体" w:eastAsia="黑体" w:hAnsi="宋体" w:hint="eastAsia"/>
                <w:bCs/>
                <w:sz w:val="24"/>
              </w:rPr>
            </w:pPr>
            <w:r>
              <w:rPr>
                <w:rFonts w:ascii="黑体" w:eastAsia="黑体" w:hAnsi="宋体" w:hint="eastAsia"/>
                <w:bCs/>
                <w:sz w:val="24"/>
              </w:rPr>
              <w:t>二级</w:t>
            </w:r>
          </w:p>
        </w:tc>
        <w:tc>
          <w:tcPr>
            <w:tcW w:w="1636" w:type="dxa"/>
            <w:tcBorders>
              <w:top w:val="nil"/>
              <w:left w:val="nil"/>
              <w:bottom w:val="single" w:sz="4" w:space="0" w:color="auto"/>
              <w:right w:val="single" w:sz="4" w:space="0" w:color="auto"/>
            </w:tcBorders>
            <w:vAlign w:val="center"/>
            <w:hideMark/>
          </w:tcPr>
          <w:p w:rsidR="008A000D" w:rsidRDefault="008A000D">
            <w:pPr>
              <w:snapToGrid w:val="0"/>
              <w:jc w:val="center"/>
              <w:rPr>
                <w:rFonts w:ascii="黑体" w:eastAsia="黑体" w:hAnsi="宋体" w:hint="eastAsia"/>
                <w:bCs/>
                <w:sz w:val="24"/>
              </w:rPr>
            </w:pPr>
            <w:r>
              <w:rPr>
                <w:rFonts w:ascii="黑体" w:eastAsia="黑体" w:hAnsi="宋体" w:hint="eastAsia"/>
                <w:bCs/>
                <w:sz w:val="24"/>
              </w:rPr>
              <w:t>三级</w:t>
            </w:r>
          </w:p>
        </w:tc>
        <w:tc>
          <w:tcPr>
            <w:tcW w:w="0" w:type="auto"/>
            <w:vMerge/>
            <w:tcBorders>
              <w:top w:val="single" w:sz="4" w:space="0" w:color="auto"/>
              <w:left w:val="nil"/>
              <w:bottom w:val="single" w:sz="4" w:space="0" w:color="auto"/>
              <w:right w:val="single" w:sz="4" w:space="0" w:color="auto"/>
            </w:tcBorders>
            <w:vAlign w:val="center"/>
            <w:hideMark/>
          </w:tcPr>
          <w:p w:rsidR="008A000D" w:rsidRDefault="008A000D">
            <w:pPr>
              <w:widowControl/>
              <w:jc w:val="left"/>
              <w:rPr>
                <w:rFonts w:ascii="黑体" w:eastAsia="黑体"/>
                <w:bCs/>
                <w:sz w:val="24"/>
                <w:szCs w:val="28"/>
              </w:rPr>
            </w:pPr>
          </w:p>
        </w:tc>
      </w:tr>
      <w:tr w:rsidR="008A000D" w:rsidTr="008A000D">
        <w:trPr>
          <w:trHeight w:val="510"/>
          <w:jc w:val="center"/>
        </w:trPr>
        <w:tc>
          <w:tcPr>
            <w:tcW w:w="6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黑体" w:eastAsia="黑体" w:hAnsi="宋体" w:hint="eastAsia"/>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黑体" w:eastAsia="黑体" w:hAnsi="宋体" w:hint="eastAsia"/>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339"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405"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405"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447"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2100"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636" w:type="dxa"/>
            <w:tcBorders>
              <w:top w:val="nil"/>
              <w:left w:val="nil"/>
              <w:bottom w:val="single" w:sz="4" w:space="0" w:color="auto"/>
              <w:right w:val="single" w:sz="4" w:space="0" w:color="auto"/>
            </w:tcBorders>
            <w:vAlign w:val="center"/>
          </w:tcPr>
          <w:p w:rsidR="008A000D" w:rsidRDefault="008A000D">
            <w:pPr>
              <w:snapToGrid w:val="0"/>
              <w:jc w:val="center"/>
              <w:rPr>
                <w:rFonts w:ascii="宋体" w:hAnsi="宋体" w:hint="eastAsia"/>
                <w:bCs/>
                <w:sz w:val="28"/>
                <w:szCs w:val="28"/>
              </w:rPr>
            </w:pPr>
          </w:p>
        </w:tc>
        <w:tc>
          <w:tcPr>
            <w:tcW w:w="1395" w:type="dxa"/>
            <w:tcBorders>
              <w:top w:val="nil"/>
              <w:left w:val="nil"/>
              <w:bottom w:val="single" w:sz="4" w:space="0" w:color="auto"/>
              <w:right w:val="single" w:sz="4" w:space="0" w:color="auto"/>
            </w:tcBorders>
            <w:vAlign w:val="center"/>
          </w:tcPr>
          <w:p w:rsidR="008A000D" w:rsidRDefault="008A000D">
            <w:pPr>
              <w:snapToGrid w:val="0"/>
              <w:jc w:val="center"/>
              <w:rPr>
                <w:rFonts w:hint="eastAsia"/>
                <w:bCs/>
                <w:sz w:val="28"/>
                <w:szCs w:val="28"/>
              </w:rPr>
            </w:pPr>
          </w:p>
        </w:tc>
      </w:tr>
      <w:tr w:rsidR="008A000D" w:rsidTr="008A000D">
        <w:trPr>
          <w:trHeight w:val="510"/>
          <w:jc w:val="center"/>
        </w:trPr>
        <w:tc>
          <w:tcPr>
            <w:tcW w:w="6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黑体" w:eastAsia="黑体" w:hAnsi="宋体"/>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黑体" w:eastAsia="黑体" w:hAnsi="宋体" w:hint="eastAsia"/>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pStyle w:val="xl23"/>
              <w:widowControl w:val="0"/>
              <w:snapToGrid w:val="0"/>
              <w:spacing w:before="0" w:beforeAutospacing="0" w:after="0" w:afterAutospacing="0"/>
              <w:rPr>
                <w:rFonts w:ascii="Times New Roman" w:hAnsi="Times New Roman" w:hint="eastAsia"/>
                <w:bCs/>
                <w:kern w:val="2"/>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bCs/>
                <w:sz w:val="28"/>
                <w:szCs w:val="28"/>
              </w:rPr>
            </w:pPr>
          </w:p>
        </w:tc>
        <w:tc>
          <w:tcPr>
            <w:tcW w:w="1339"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405"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405"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447"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2100"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636" w:type="dxa"/>
            <w:tcBorders>
              <w:top w:val="nil"/>
              <w:left w:val="nil"/>
              <w:bottom w:val="single" w:sz="4" w:space="0" w:color="auto"/>
              <w:right w:val="single" w:sz="4" w:space="0" w:color="auto"/>
            </w:tcBorders>
            <w:vAlign w:val="center"/>
          </w:tcPr>
          <w:p w:rsidR="008A000D" w:rsidRDefault="008A000D">
            <w:pPr>
              <w:snapToGrid w:val="0"/>
              <w:jc w:val="center"/>
              <w:rPr>
                <w:rFonts w:ascii="宋体" w:hAnsi="宋体" w:hint="eastAsia"/>
                <w:bCs/>
                <w:sz w:val="28"/>
                <w:szCs w:val="28"/>
              </w:rPr>
            </w:pPr>
          </w:p>
        </w:tc>
        <w:tc>
          <w:tcPr>
            <w:tcW w:w="1395" w:type="dxa"/>
            <w:tcBorders>
              <w:top w:val="nil"/>
              <w:left w:val="nil"/>
              <w:bottom w:val="single" w:sz="4" w:space="0" w:color="auto"/>
              <w:right w:val="single" w:sz="4" w:space="0" w:color="auto"/>
            </w:tcBorders>
            <w:vAlign w:val="center"/>
          </w:tcPr>
          <w:p w:rsidR="008A000D" w:rsidRDefault="008A000D">
            <w:pPr>
              <w:snapToGrid w:val="0"/>
              <w:jc w:val="center"/>
              <w:rPr>
                <w:rFonts w:hint="eastAsia"/>
                <w:bCs/>
                <w:sz w:val="28"/>
                <w:szCs w:val="28"/>
              </w:rPr>
            </w:pPr>
          </w:p>
        </w:tc>
      </w:tr>
      <w:tr w:rsidR="008A000D" w:rsidTr="008A000D">
        <w:trPr>
          <w:trHeight w:val="510"/>
          <w:jc w:val="center"/>
        </w:trPr>
        <w:tc>
          <w:tcPr>
            <w:tcW w:w="6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黑体" w:eastAsia="黑体" w:hAnsi="宋体"/>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黑体" w:eastAsia="黑体" w:hAnsi="宋体" w:hint="eastAsia"/>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339"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405"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405"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447"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2100"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636" w:type="dxa"/>
            <w:tcBorders>
              <w:top w:val="nil"/>
              <w:left w:val="nil"/>
              <w:bottom w:val="single" w:sz="4" w:space="0" w:color="auto"/>
              <w:right w:val="single" w:sz="4" w:space="0" w:color="auto"/>
            </w:tcBorders>
            <w:vAlign w:val="center"/>
          </w:tcPr>
          <w:p w:rsidR="008A000D" w:rsidRDefault="008A000D">
            <w:pPr>
              <w:snapToGrid w:val="0"/>
              <w:jc w:val="center"/>
              <w:rPr>
                <w:rFonts w:ascii="宋体" w:hAnsi="宋体" w:hint="eastAsia"/>
                <w:bCs/>
                <w:sz w:val="28"/>
                <w:szCs w:val="28"/>
              </w:rPr>
            </w:pPr>
          </w:p>
        </w:tc>
        <w:tc>
          <w:tcPr>
            <w:tcW w:w="1395" w:type="dxa"/>
            <w:tcBorders>
              <w:top w:val="nil"/>
              <w:left w:val="nil"/>
              <w:bottom w:val="single" w:sz="4" w:space="0" w:color="auto"/>
              <w:right w:val="single" w:sz="4" w:space="0" w:color="auto"/>
            </w:tcBorders>
            <w:vAlign w:val="center"/>
          </w:tcPr>
          <w:p w:rsidR="008A000D" w:rsidRDefault="008A000D">
            <w:pPr>
              <w:snapToGrid w:val="0"/>
              <w:jc w:val="center"/>
              <w:rPr>
                <w:rFonts w:hint="eastAsia"/>
                <w:bCs/>
                <w:sz w:val="28"/>
                <w:szCs w:val="28"/>
              </w:rPr>
            </w:pPr>
          </w:p>
        </w:tc>
      </w:tr>
      <w:tr w:rsidR="008A000D" w:rsidTr="008A000D">
        <w:trPr>
          <w:trHeight w:val="510"/>
          <w:jc w:val="center"/>
        </w:trPr>
        <w:tc>
          <w:tcPr>
            <w:tcW w:w="6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黑体" w:eastAsia="黑体" w:hAnsi="宋体"/>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黑体" w:eastAsia="黑体" w:hAnsi="宋体" w:hint="eastAsia"/>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339"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405"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405"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447"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2100"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636" w:type="dxa"/>
            <w:tcBorders>
              <w:top w:val="nil"/>
              <w:left w:val="nil"/>
              <w:bottom w:val="single" w:sz="4" w:space="0" w:color="auto"/>
              <w:right w:val="single" w:sz="4" w:space="0" w:color="auto"/>
            </w:tcBorders>
            <w:vAlign w:val="center"/>
          </w:tcPr>
          <w:p w:rsidR="008A000D" w:rsidRDefault="008A000D">
            <w:pPr>
              <w:snapToGrid w:val="0"/>
              <w:jc w:val="center"/>
              <w:rPr>
                <w:rFonts w:ascii="宋体" w:hAnsi="宋体" w:hint="eastAsia"/>
                <w:bCs/>
                <w:sz w:val="28"/>
                <w:szCs w:val="28"/>
              </w:rPr>
            </w:pPr>
          </w:p>
        </w:tc>
        <w:tc>
          <w:tcPr>
            <w:tcW w:w="1395" w:type="dxa"/>
            <w:tcBorders>
              <w:top w:val="nil"/>
              <w:left w:val="nil"/>
              <w:bottom w:val="single" w:sz="4" w:space="0" w:color="auto"/>
              <w:right w:val="single" w:sz="4" w:space="0" w:color="auto"/>
            </w:tcBorders>
            <w:vAlign w:val="center"/>
          </w:tcPr>
          <w:p w:rsidR="008A000D" w:rsidRDefault="008A000D">
            <w:pPr>
              <w:snapToGrid w:val="0"/>
              <w:jc w:val="center"/>
              <w:rPr>
                <w:rFonts w:hint="eastAsia"/>
                <w:bCs/>
                <w:sz w:val="28"/>
                <w:szCs w:val="28"/>
              </w:rPr>
            </w:pPr>
          </w:p>
        </w:tc>
      </w:tr>
      <w:tr w:rsidR="008A000D" w:rsidTr="008A000D">
        <w:trPr>
          <w:trHeight w:val="510"/>
          <w:jc w:val="center"/>
        </w:trPr>
        <w:tc>
          <w:tcPr>
            <w:tcW w:w="6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黑体" w:eastAsia="黑体" w:hAnsi="宋体"/>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黑体" w:eastAsia="黑体" w:hAnsi="宋体" w:hint="eastAsia"/>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339"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405"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405"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447"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2100"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636" w:type="dxa"/>
            <w:tcBorders>
              <w:top w:val="nil"/>
              <w:left w:val="nil"/>
              <w:bottom w:val="single" w:sz="4" w:space="0" w:color="auto"/>
              <w:right w:val="single" w:sz="4" w:space="0" w:color="auto"/>
            </w:tcBorders>
            <w:vAlign w:val="center"/>
          </w:tcPr>
          <w:p w:rsidR="008A000D" w:rsidRDefault="008A000D">
            <w:pPr>
              <w:snapToGrid w:val="0"/>
              <w:jc w:val="center"/>
              <w:rPr>
                <w:rFonts w:ascii="宋体" w:hAnsi="宋体" w:hint="eastAsia"/>
                <w:bCs/>
                <w:sz w:val="28"/>
                <w:szCs w:val="28"/>
              </w:rPr>
            </w:pPr>
          </w:p>
        </w:tc>
        <w:tc>
          <w:tcPr>
            <w:tcW w:w="1395" w:type="dxa"/>
            <w:tcBorders>
              <w:top w:val="nil"/>
              <w:left w:val="nil"/>
              <w:bottom w:val="single" w:sz="4" w:space="0" w:color="auto"/>
              <w:right w:val="single" w:sz="4" w:space="0" w:color="auto"/>
            </w:tcBorders>
            <w:vAlign w:val="center"/>
          </w:tcPr>
          <w:p w:rsidR="008A000D" w:rsidRDefault="008A000D">
            <w:pPr>
              <w:snapToGrid w:val="0"/>
              <w:jc w:val="center"/>
              <w:rPr>
                <w:rFonts w:hint="eastAsia"/>
                <w:bCs/>
                <w:sz w:val="28"/>
                <w:szCs w:val="28"/>
              </w:rPr>
            </w:pPr>
          </w:p>
        </w:tc>
      </w:tr>
      <w:tr w:rsidR="008A000D" w:rsidTr="008A000D">
        <w:trPr>
          <w:trHeight w:val="510"/>
          <w:jc w:val="center"/>
        </w:trPr>
        <w:tc>
          <w:tcPr>
            <w:tcW w:w="6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黑体" w:eastAsia="黑体" w:hAnsi="宋体"/>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黑体" w:eastAsia="黑体" w:hAnsi="宋体" w:hint="eastAsia"/>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339"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405"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405"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447"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2100"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636" w:type="dxa"/>
            <w:tcBorders>
              <w:top w:val="nil"/>
              <w:left w:val="nil"/>
              <w:bottom w:val="single" w:sz="4" w:space="0" w:color="auto"/>
              <w:right w:val="single" w:sz="4" w:space="0" w:color="auto"/>
            </w:tcBorders>
            <w:vAlign w:val="center"/>
          </w:tcPr>
          <w:p w:rsidR="008A000D" w:rsidRDefault="008A000D">
            <w:pPr>
              <w:snapToGrid w:val="0"/>
              <w:jc w:val="center"/>
              <w:rPr>
                <w:rFonts w:ascii="宋体" w:hAnsi="宋体" w:hint="eastAsia"/>
                <w:bCs/>
                <w:sz w:val="28"/>
                <w:szCs w:val="28"/>
              </w:rPr>
            </w:pPr>
          </w:p>
        </w:tc>
        <w:tc>
          <w:tcPr>
            <w:tcW w:w="1395" w:type="dxa"/>
            <w:tcBorders>
              <w:top w:val="nil"/>
              <w:left w:val="nil"/>
              <w:bottom w:val="single" w:sz="4" w:space="0" w:color="auto"/>
              <w:right w:val="single" w:sz="4" w:space="0" w:color="auto"/>
            </w:tcBorders>
            <w:vAlign w:val="center"/>
          </w:tcPr>
          <w:p w:rsidR="008A000D" w:rsidRDefault="008A000D">
            <w:pPr>
              <w:snapToGrid w:val="0"/>
              <w:jc w:val="center"/>
              <w:rPr>
                <w:rFonts w:hint="eastAsia"/>
                <w:bCs/>
                <w:sz w:val="28"/>
                <w:szCs w:val="28"/>
              </w:rPr>
            </w:pPr>
          </w:p>
        </w:tc>
      </w:tr>
      <w:tr w:rsidR="008A000D" w:rsidTr="008A000D">
        <w:trPr>
          <w:trHeight w:val="510"/>
          <w:jc w:val="center"/>
        </w:trPr>
        <w:tc>
          <w:tcPr>
            <w:tcW w:w="6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黑体" w:eastAsia="黑体" w:hAnsi="宋体"/>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黑体" w:eastAsia="黑体" w:hAnsi="宋体" w:hint="eastAsia"/>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339"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405"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405"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447"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2100"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636" w:type="dxa"/>
            <w:tcBorders>
              <w:top w:val="nil"/>
              <w:left w:val="nil"/>
              <w:bottom w:val="single" w:sz="4" w:space="0" w:color="auto"/>
              <w:right w:val="single" w:sz="4" w:space="0" w:color="auto"/>
            </w:tcBorders>
            <w:vAlign w:val="center"/>
          </w:tcPr>
          <w:p w:rsidR="008A000D" w:rsidRDefault="008A000D">
            <w:pPr>
              <w:snapToGrid w:val="0"/>
              <w:jc w:val="center"/>
              <w:rPr>
                <w:rFonts w:ascii="宋体" w:hAnsi="宋体" w:hint="eastAsia"/>
                <w:bCs/>
                <w:sz w:val="28"/>
                <w:szCs w:val="28"/>
              </w:rPr>
            </w:pPr>
          </w:p>
        </w:tc>
        <w:tc>
          <w:tcPr>
            <w:tcW w:w="1395" w:type="dxa"/>
            <w:tcBorders>
              <w:top w:val="nil"/>
              <w:left w:val="nil"/>
              <w:bottom w:val="single" w:sz="4" w:space="0" w:color="auto"/>
              <w:right w:val="single" w:sz="4" w:space="0" w:color="auto"/>
            </w:tcBorders>
            <w:vAlign w:val="center"/>
          </w:tcPr>
          <w:p w:rsidR="008A000D" w:rsidRDefault="008A000D">
            <w:pPr>
              <w:snapToGrid w:val="0"/>
              <w:jc w:val="center"/>
              <w:rPr>
                <w:rFonts w:hint="eastAsia"/>
                <w:bCs/>
                <w:sz w:val="28"/>
                <w:szCs w:val="28"/>
              </w:rPr>
            </w:pPr>
          </w:p>
        </w:tc>
      </w:tr>
      <w:tr w:rsidR="008A000D" w:rsidTr="008A000D">
        <w:trPr>
          <w:trHeight w:val="510"/>
          <w:jc w:val="center"/>
        </w:trPr>
        <w:tc>
          <w:tcPr>
            <w:tcW w:w="6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黑体" w:eastAsia="黑体"/>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黑体" w:eastAsia="黑体" w:hint="eastAsia"/>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hint="eastAsia"/>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bCs/>
                <w:sz w:val="28"/>
                <w:szCs w:val="28"/>
              </w:rPr>
            </w:pPr>
          </w:p>
        </w:tc>
        <w:tc>
          <w:tcPr>
            <w:tcW w:w="1339"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bCs/>
                <w:sz w:val="28"/>
                <w:szCs w:val="28"/>
              </w:rPr>
            </w:pPr>
          </w:p>
        </w:tc>
        <w:tc>
          <w:tcPr>
            <w:tcW w:w="1405"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bCs/>
                <w:sz w:val="28"/>
                <w:szCs w:val="28"/>
              </w:rPr>
            </w:pPr>
          </w:p>
        </w:tc>
        <w:tc>
          <w:tcPr>
            <w:tcW w:w="1405"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bCs/>
                <w:sz w:val="28"/>
                <w:szCs w:val="28"/>
              </w:rPr>
            </w:pPr>
          </w:p>
        </w:tc>
        <w:tc>
          <w:tcPr>
            <w:tcW w:w="1447"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bCs/>
                <w:sz w:val="28"/>
                <w:szCs w:val="28"/>
              </w:rPr>
            </w:pPr>
          </w:p>
        </w:tc>
        <w:tc>
          <w:tcPr>
            <w:tcW w:w="2100"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bCs/>
                <w:sz w:val="28"/>
                <w:szCs w:val="28"/>
              </w:rPr>
            </w:pPr>
          </w:p>
        </w:tc>
        <w:tc>
          <w:tcPr>
            <w:tcW w:w="1636" w:type="dxa"/>
            <w:tcBorders>
              <w:top w:val="nil"/>
              <w:left w:val="nil"/>
              <w:bottom w:val="single" w:sz="4" w:space="0" w:color="auto"/>
              <w:right w:val="single" w:sz="4" w:space="0" w:color="auto"/>
            </w:tcBorders>
            <w:vAlign w:val="center"/>
          </w:tcPr>
          <w:p w:rsidR="008A000D" w:rsidRDefault="008A000D">
            <w:pPr>
              <w:snapToGrid w:val="0"/>
              <w:jc w:val="center"/>
              <w:rPr>
                <w:bCs/>
                <w:sz w:val="28"/>
                <w:szCs w:val="28"/>
              </w:rPr>
            </w:pPr>
          </w:p>
        </w:tc>
        <w:tc>
          <w:tcPr>
            <w:tcW w:w="1395" w:type="dxa"/>
            <w:tcBorders>
              <w:top w:val="nil"/>
              <w:left w:val="nil"/>
              <w:bottom w:val="single" w:sz="4" w:space="0" w:color="auto"/>
              <w:right w:val="single" w:sz="4" w:space="0" w:color="auto"/>
            </w:tcBorders>
            <w:vAlign w:val="center"/>
          </w:tcPr>
          <w:p w:rsidR="008A000D" w:rsidRDefault="008A000D">
            <w:pPr>
              <w:snapToGrid w:val="0"/>
              <w:jc w:val="center"/>
              <w:rPr>
                <w:bCs/>
                <w:sz w:val="28"/>
                <w:szCs w:val="28"/>
              </w:rPr>
            </w:pPr>
          </w:p>
        </w:tc>
      </w:tr>
      <w:tr w:rsidR="008A000D" w:rsidTr="008A000D">
        <w:trPr>
          <w:trHeight w:val="510"/>
          <w:jc w:val="center"/>
        </w:trPr>
        <w:tc>
          <w:tcPr>
            <w:tcW w:w="6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黑体" w:eastAsia="黑体" w:hAnsi="宋体"/>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黑体" w:eastAsia="黑体" w:hAnsi="宋体" w:hint="eastAsia"/>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692"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339"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405"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405"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447"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2100" w:type="dxa"/>
            <w:tcBorders>
              <w:top w:val="nil"/>
              <w:left w:val="nil"/>
              <w:bottom w:val="single" w:sz="4" w:space="0" w:color="auto"/>
              <w:right w:val="single" w:sz="4" w:space="0" w:color="auto"/>
            </w:tcBorders>
            <w:tcMar>
              <w:top w:w="15" w:type="dxa"/>
              <w:left w:w="15" w:type="dxa"/>
              <w:bottom w:w="0" w:type="dxa"/>
              <w:right w:w="15" w:type="dxa"/>
            </w:tcMar>
            <w:vAlign w:val="center"/>
          </w:tcPr>
          <w:p w:rsidR="008A000D" w:rsidRDefault="008A000D">
            <w:pPr>
              <w:snapToGrid w:val="0"/>
              <w:jc w:val="center"/>
              <w:rPr>
                <w:rFonts w:ascii="宋体" w:hAnsi="宋体" w:hint="eastAsia"/>
                <w:bCs/>
                <w:sz w:val="28"/>
                <w:szCs w:val="28"/>
              </w:rPr>
            </w:pPr>
          </w:p>
        </w:tc>
        <w:tc>
          <w:tcPr>
            <w:tcW w:w="1636" w:type="dxa"/>
            <w:tcBorders>
              <w:top w:val="nil"/>
              <w:left w:val="nil"/>
              <w:bottom w:val="single" w:sz="4" w:space="0" w:color="auto"/>
              <w:right w:val="single" w:sz="4" w:space="0" w:color="auto"/>
            </w:tcBorders>
            <w:vAlign w:val="center"/>
          </w:tcPr>
          <w:p w:rsidR="008A000D" w:rsidRDefault="008A000D">
            <w:pPr>
              <w:snapToGrid w:val="0"/>
              <w:jc w:val="center"/>
              <w:rPr>
                <w:rFonts w:ascii="宋体" w:hAnsi="宋体" w:hint="eastAsia"/>
                <w:bCs/>
                <w:sz w:val="28"/>
                <w:szCs w:val="28"/>
              </w:rPr>
            </w:pPr>
          </w:p>
        </w:tc>
        <w:tc>
          <w:tcPr>
            <w:tcW w:w="1395" w:type="dxa"/>
            <w:tcBorders>
              <w:top w:val="nil"/>
              <w:left w:val="nil"/>
              <w:bottom w:val="single" w:sz="4" w:space="0" w:color="auto"/>
              <w:right w:val="single" w:sz="4" w:space="0" w:color="auto"/>
            </w:tcBorders>
            <w:vAlign w:val="center"/>
          </w:tcPr>
          <w:p w:rsidR="008A000D" w:rsidRDefault="008A000D">
            <w:pPr>
              <w:snapToGrid w:val="0"/>
              <w:jc w:val="center"/>
              <w:rPr>
                <w:rFonts w:hint="eastAsia"/>
                <w:bCs/>
                <w:sz w:val="28"/>
                <w:szCs w:val="28"/>
              </w:rPr>
            </w:pPr>
          </w:p>
        </w:tc>
      </w:tr>
    </w:tbl>
    <w:p w:rsidR="008A000D" w:rsidRDefault="008A000D" w:rsidP="008A000D">
      <w:pPr>
        <w:widowControl/>
        <w:snapToGrid w:val="0"/>
        <w:ind w:firstLineChars="200" w:firstLine="480"/>
        <w:jc w:val="left"/>
      </w:pPr>
      <w:r>
        <w:rPr>
          <w:rFonts w:ascii="楷体_GB2312" w:eastAsia="楷体_GB2312" w:hint="eastAsia"/>
          <w:bCs/>
          <w:sz w:val="24"/>
        </w:rPr>
        <w:t>注：1、“申请人员类别”应按“直接认定”、“面试”两类分别填写；2、“申请任教学科”按申请人的《教师资格认定申请表》上所填内容如实填写，为方便面试学科分组，二级学科不能明确显示申请人任教课程的，须填写至三级学科；3、按姓氏拼音升序集中排列。</w:t>
      </w:r>
    </w:p>
    <w:p w:rsidR="008A000D" w:rsidRDefault="008A000D" w:rsidP="008A000D">
      <w:pPr>
        <w:widowControl/>
        <w:jc w:val="left"/>
        <w:rPr>
          <w:rFonts w:ascii="仿宋_GB2312"/>
        </w:rPr>
        <w:sectPr w:rsidR="008A000D">
          <w:pgSz w:w="16838" w:h="11906" w:orient="landscape"/>
          <w:pgMar w:top="1588" w:right="1985" w:bottom="1644" w:left="1928" w:header="0" w:footer="1588" w:gutter="0"/>
          <w:cols w:space="720"/>
          <w:docGrid w:type="lines" w:linePitch="587"/>
        </w:sectPr>
      </w:pPr>
    </w:p>
    <w:p w:rsidR="008A000D" w:rsidRDefault="008A000D" w:rsidP="008A000D">
      <w:pPr>
        <w:rPr>
          <w:rFonts w:ascii="黑体" w:eastAsia="黑体"/>
        </w:rPr>
      </w:pPr>
      <w:r>
        <w:rPr>
          <w:rFonts w:ascii="黑体" w:eastAsia="黑体" w:hint="eastAsia"/>
        </w:rPr>
        <w:lastRenderedPageBreak/>
        <w:t>附件</w:t>
      </w:r>
      <w:r w:rsidR="004462AA">
        <w:rPr>
          <w:rFonts w:ascii="黑体" w:eastAsia="黑体"/>
        </w:rPr>
        <w:t>2</w:t>
      </w:r>
    </w:p>
    <w:p w:rsidR="008A000D" w:rsidRDefault="008A000D" w:rsidP="008A000D">
      <w:pPr>
        <w:rPr>
          <w:rFonts w:ascii="黑体" w:eastAsia="黑体" w:hint="eastAsia"/>
        </w:rPr>
      </w:pPr>
    </w:p>
    <w:p w:rsidR="008A000D" w:rsidRDefault="008A000D" w:rsidP="008A000D">
      <w:pPr>
        <w:snapToGrid w:val="0"/>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关于高等学校教师资格认定材料受理工作</w:t>
      </w:r>
    </w:p>
    <w:p w:rsidR="008A000D" w:rsidRDefault="008A000D" w:rsidP="008A000D">
      <w:pPr>
        <w:snapToGrid w:val="0"/>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有关问题的说明</w:t>
      </w:r>
    </w:p>
    <w:p w:rsidR="008A000D" w:rsidRDefault="008A000D" w:rsidP="008A000D">
      <w:pPr>
        <w:ind w:firstLineChars="200" w:firstLine="600"/>
        <w:rPr>
          <w:rFonts w:ascii="仿宋_GB2312" w:hAnsi="仿宋" w:hint="eastAsia"/>
        </w:rPr>
      </w:pPr>
    </w:p>
    <w:p w:rsidR="008A000D" w:rsidRDefault="008A000D" w:rsidP="008A000D">
      <w:pPr>
        <w:ind w:firstLineChars="200" w:firstLine="600"/>
        <w:rPr>
          <w:rFonts w:ascii="黑体" w:eastAsia="黑体" w:hAnsi="仿宋" w:hint="eastAsia"/>
        </w:rPr>
      </w:pPr>
      <w:r>
        <w:rPr>
          <w:rFonts w:ascii="黑体" w:eastAsia="黑体" w:hAnsi="仿宋" w:hint="eastAsia"/>
        </w:rPr>
        <w:t>一、申请高等学校教师资格人员均应具有以下基本条件</w:t>
      </w:r>
    </w:p>
    <w:p w:rsidR="008A000D" w:rsidRDefault="008A000D" w:rsidP="008A000D">
      <w:pPr>
        <w:ind w:firstLineChars="200" w:firstLine="600"/>
        <w:rPr>
          <w:rFonts w:ascii="仿宋_GB2312" w:hAnsi="仿宋" w:hint="eastAsia"/>
        </w:rPr>
      </w:pPr>
      <w:r>
        <w:rPr>
          <w:rFonts w:ascii="仿宋_GB2312" w:hAnsi="仿宋" w:hint="eastAsia"/>
        </w:rPr>
        <w:t>1.中国公民身份。</w:t>
      </w:r>
    </w:p>
    <w:p w:rsidR="008A000D" w:rsidRDefault="008A000D" w:rsidP="008A000D">
      <w:pPr>
        <w:ind w:firstLineChars="200" w:firstLine="600"/>
        <w:rPr>
          <w:rFonts w:ascii="仿宋_GB2312" w:hAnsi="仿宋" w:hint="eastAsia"/>
        </w:rPr>
      </w:pPr>
      <w:r>
        <w:rPr>
          <w:rFonts w:ascii="仿宋_GB2312" w:hAnsi="仿宋" w:hint="eastAsia"/>
        </w:rPr>
        <w:t>2.河南省境内普通高等学校在编或已聘任教学人员、与高等学校签订工作协议或聘用合同的教学人员。</w:t>
      </w:r>
    </w:p>
    <w:p w:rsidR="008A000D" w:rsidRDefault="008A000D" w:rsidP="008A000D">
      <w:pPr>
        <w:ind w:firstLineChars="200" w:firstLine="600"/>
        <w:rPr>
          <w:rFonts w:ascii="仿宋_GB2312" w:hAnsi="仿宋" w:hint="eastAsia"/>
        </w:rPr>
      </w:pPr>
      <w:r>
        <w:rPr>
          <w:rFonts w:ascii="仿宋_GB2312" w:hAnsi="仿宋" w:hint="eastAsia"/>
        </w:rPr>
        <w:t>3.体检合格，以指定体检医院体检结论为准。</w:t>
      </w:r>
    </w:p>
    <w:p w:rsidR="008A000D" w:rsidRDefault="008A000D" w:rsidP="008A000D">
      <w:pPr>
        <w:ind w:firstLineChars="200" w:firstLine="600"/>
        <w:rPr>
          <w:rFonts w:ascii="仿宋_GB2312" w:hAnsi="仿宋" w:hint="eastAsia"/>
        </w:rPr>
      </w:pPr>
      <w:r>
        <w:rPr>
          <w:rFonts w:ascii="仿宋_GB2312" w:hAnsi="仿宋" w:hint="eastAsia"/>
        </w:rPr>
        <w:t>4.本科及以上学历。</w:t>
      </w:r>
    </w:p>
    <w:p w:rsidR="008A000D" w:rsidRDefault="008A000D" w:rsidP="008A000D">
      <w:pPr>
        <w:ind w:firstLineChars="200" w:firstLine="600"/>
        <w:rPr>
          <w:rFonts w:ascii="仿宋_GB2312" w:hAnsi="仿宋" w:hint="eastAsia"/>
        </w:rPr>
      </w:pPr>
      <w:r>
        <w:rPr>
          <w:rFonts w:ascii="仿宋_GB2312" w:hAnsi="仿宋" w:hint="eastAsia"/>
        </w:rPr>
        <w:t>5.普通话水平达到二级乙等及以上标准，以普通话等级证书为准（具有</w:t>
      </w:r>
      <w:r>
        <w:rPr>
          <w:rFonts w:ascii="仿宋" w:eastAsia="仿宋" w:hAnsi="仿宋" w:hint="eastAsia"/>
          <w:sz w:val="32"/>
          <w:szCs w:val="32"/>
        </w:rPr>
        <w:t>高校教师系列</w:t>
      </w:r>
      <w:r>
        <w:rPr>
          <w:rFonts w:ascii="仿宋_GB2312" w:hAnsi="仿宋" w:hint="eastAsia"/>
        </w:rPr>
        <w:t>副教授职称或博士学位人员除外）。</w:t>
      </w:r>
    </w:p>
    <w:p w:rsidR="008A000D" w:rsidRDefault="008A000D" w:rsidP="008A000D">
      <w:pPr>
        <w:ind w:firstLineChars="200" w:firstLine="600"/>
        <w:rPr>
          <w:rFonts w:ascii="黑体" w:eastAsia="黑体" w:hAnsi="仿宋" w:hint="eastAsia"/>
        </w:rPr>
      </w:pPr>
      <w:r>
        <w:rPr>
          <w:rFonts w:ascii="黑体" w:eastAsia="黑体" w:hAnsi="仿宋" w:hint="eastAsia"/>
        </w:rPr>
        <w:t>二、关于全日制师范</w:t>
      </w:r>
      <w:proofErr w:type="gramStart"/>
      <w:r>
        <w:rPr>
          <w:rFonts w:ascii="黑体" w:eastAsia="黑体" w:hAnsi="仿宋" w:hint="eastAsia"/>
        </w:rPr>
        <w:t>生申请</w:t>
      </w:r>
      <w:proofErr w:type="gramEnd"/>
      <w:r>
        <w:rPr>
          <w:rFonts w:ascii="黑体" w:eastAsia="黑体" w:hAnsi="仿宋" w:hint="eastAsia"/>
        </w:rPr>
        <w:t>直接认定的几种情况说明</w:t>
      </w:r>
    </w:p>
    <w:p w:rsidR="008A000D" w:rsidRDefault="008A000D" w:rsidP="008A000D">
      <w:pPr>
        <w:ind w:firstLineChars="200" w:firstLine="600"/>
        <w:rPr>
          <w:rFonts w:ascii="仿宋_GB2312" w:hAnsi="仿宋" w:hint="eastAsia"/>
        </w:rPr>
      </w:pPr>
      <w:r>
        <w:rPr>
          <w:rFonts w:ascii="仿宋_GB2312" w:hAnsi="仿宋" w:hint="eastAsia"/>
        </w:rPr>
        <w:t>1.全日制本科师范毕业生：</w:t>
      </w:r>
    </w:p>
    <w:p w:rsidR="008A000D" w:rsidRDefault="008A000D" w:rsidP="008A000D">
      <w:pPr>
        <w:ind w:firstLineChars="200" w:firstLine="600"/>
        <w:rPr>
          <w:rFonts w:ascii="仿宋_GB2312" w:hAnsi="仿宋" w:hint="eastAsia"/>
        </w:rPr>
      </w:pPr>
      <w:r>
        <w:rPr>
          <w:rFonts w:ascii="仿宋_GB2312" w:hAnsi="仿宋" w:hint="eastAsia"/>
        </w:rPr>
        <w:t>（1）须提供入学当年招生计划表复印件（招生计划表必须明确显示其为师范专业，并加盖相关部门公章）。</w:t>
      </w:r>
    </w:p>
    <w:p w:rsidR="008A000D" w:rsidRDefault="008A000D" w:rsidP="008A000D">
      <w:pPr>
        <w:ind w:firstLineChars="200" w:firstLine="600"/>
        <w:rPr>
          <w:rFonts w:ascii="仿宋_GB2312" w:hAnsi="仿宋" w:hint="eastAsia"/>
        </w:rPr>
      </w:pPr>
      <w:r>
        <w:rPr>
          <w:rFonts w:ascii="仿宋_GB2312" w:hAnsi="仿宋" w:hint="eastAsia"/>
        </w:rPr>
        <w:t>2.专升本师范毕业生</w:t>
      </w:r>
    </w:p>
    <w:p w:rsidR="008A000D" w:rsidRDefault="008A000D" w:rsidP="008A000D">
      <w:pPr>
        <w:ind w:firstLineChars="200" w:firstLine="600"/>
        <w:rPr>
          <w:rFonts w:ascii="仿宋_GB2312" w:hAnsi="仿宋" w:hint="eastAsia"/>
        </w:rPr>
      </w:pPr>
      <w:r>
        <w:rPr>
          <w:rFonts w:ascii="仿宋_GB2312" w:hAnsi="仿宋" w:hint="eastAsia"/>
        </w:rPr>
        <w:t>（1）由非师范专业专科升入师范专业本科连读的毕业生，须提供本科入学当年招生计划表复印件（招生计划表必须明确显示其为师范专业，并加盖相关部门公章）。</w:t>
      </w:r>
    </w:p>
    <w:p w:rsidR="008A000D" w:rsidRDefault="008A000D" w:rsidP="008A000D">
      <w:pPr>
        <w:ind w:firstLineChars="200" w:firstLine="600"/>
        <w:rPr>
          <w:rFonts w:ascii="仿宋_GB2312" w:hAnsi="仿宋" w:hint="eastAsia"/>
        </w:rPr>
      </w:pPr>
      <w:r>
        <w:rPr>
          <w:rFonts w:ascii="仿宋_GB2312" w:hAnsi="仿宋" w:hint="eastAsia"/>
        </w:rPr>
        <w:t>（2）由师范专业专科升入非师范专业本科连读的毕业生，</w:t>
      </w:r>
      <w:r>
        <w:rPr>
          <w:rFonts w:ascii="仿宋_GB2312" w:hAnsi="仿宋" w:hint="eastAsia"/>
        </w:rPr>
        <w:lastRenderedPageBreak/>
        <w:t>不能按全日制本科师范生直接认定政策对待。</w:t>
      </w:r>
    </w:p>
    <w:p w:rsidR="008A000D" w:rsidRDefault="008A000D" w:rsidP="008A000D">
      <w:pPr>
        <w:ind w:firstLineChars="200" w:firstLine="600"/>
        <w:rPr>
          <w:rFonts w:ascii="仿宋_GB2312" w:hAnsi="仿宋" w:hint="eastAsia"/>
        </w:rPr>
      </w:pPr>
      <w:r>
        <w:rPr>
          <w:rFonts w:ascii="仿宋_GB2312" w:hAnsi="仿宋" w:hint="eastAsia"/>
        </w:rPr>
        <w:t>3.硕士研究生</w:t>
      </w:r>
    </w:p>
    <w:p w:rsidR="008A000D" w:rsidRDefault="008A000D" w:rsidP="008A000D">
      <w:pPr>
        <w:ind w:firstLineChars="200" w:firstLine="600"/>
        <w:rPr>
          <w:rFonts w:ascii="仿宋_GB2312" w:hAnsi="仿宋" w:hint="eastAsia"/>
        </w:rPr>
      </w:pPr>
      <w:r>
        <w:rPr>
          <w:rFonts w:ascii="仿宋_GB2312" w:hAnsi="仿宋" w:hint="eastAsia"/>
        </w:rPr>
        <w:t>（1）硕士研究生学历中，以中小学教师为招生对象的</w:t>
      </w:r>
      <w:r>
        <w:rPr>
          <w:rFonts w:ascii="仿宋_GB2312" w:hAnsi="仿宋" w:hint="cs"/>
        </w:rPr>
        <w:t>“</w:t>
      </w:r>
      <w:r>
        <w:rPr>
          <w:rFonts w:ascii="仿宋_GB2312" w:hAnsi="仿宋" w:hint="eastAsia"/>
        </w:rPr>
        <w:t>教育硕士</w:t>
      </w:r>
      <w:r>
        <w:rPr>
          <w:rFonts w:ascii="仿宋_GB2312" w:hAnsi="仿宋" w:hint="cs"/>
        </w:rPr>
        <w:t>”</w:t>
      </w:r>
      <w:r>
        <w:rPr>
          <w:rFonts w:ascii="仿宋_GB2312" w:hAnsi="仿宋" w:hint="eastAsia"/>
        </w:rPr>
        <w:t>（注:“教育硕士”同</w:t>
      </w:r>
      <w:r>
        <w:rPr>
          <w:rFonts w:ascii="仿宋_GB2312" w:hAnsi="仿宋" w:hint="cs"/>
        </w:rPr>
        <w:t>“</w:t>
      </w:r>
      <w:r>
        <w:rPr>
          <w:rFonts w:ascii="仿宋_GB2312" w:hAnsi="仿宋" w:hint="eastAsia"/>
        </w:rPr>
        <w:t>教育学硕士</w:t>
      </w:r>
      <w:r>
        <w:rPr>
          <w:rFonts w:ascii="仿宋_GB2312" w:hAnsi="仿宋" w:hint="cs"/>
        </w:rPr>
        <w:t>”</w:t>
      </w:r>
      <w:r>
        <w:rPr>
          <w:rFonts w:ascii="仿宋_GB2312" w:hAnsi="仿宋" w:hint="eastAsia"/>
        </w:rPr>
        <w:t>有区别，</w:t>
      </w:r>
      <w:r>
        <w:rPr>
          <w:rFonts w:ascii="仿宋_GB2312" w:hAnsi="仿宋" w:hint="cs"/>
        </w:rPr>
        <w:t>“</w:t>
      </w:r>
      <w:r>
        <w:rPr>
          <w:rFonts w:ascii="仿宋_GB2312" w:hAnsi="仿宋" w:hint="eastAsia"/>
        </w:rPr>
        <w:t>教育学硕士</w:t>
      </w:r>
      <w:r>
        <w:rPr>
          <w:rFonts w:ascii="仿宋_GB2312" w:hAnsi="仿宋" w:hint="cs"/>
        </w:rPr>
        <w:t>”</w:t>
      </w:r>
      <w:r>
        <w:rPr>
          <w:rFonts w:ascii="仿宋_GB2312" w:hAnsi="仿宋" w:hint="eastAsia"/>
        </w:rPr>
        <w:t>面向社会招生，很多专业都可以授予</w:t>
      </w:r>
      <w:r>
        <w:rPr>
          <w:rFonts w:ascii="仿宋_GB2312" w:hAnsi="仿宋" w:hint="cs"/>
        </w:rPr>
        <w:t>“</w:t>
      </w:r>
      <w:r>
        <w:rPr>
          <w:rFonts w:ascii="仿宋_GB2312" w:hAnsi="仿宋" w:hint="eastAsia"/>
        </w:rPr>
        <w:t>教育学硕士</w:t>
      </w:r>
      <w:r>
        <w:rPr>
          <w:rFonts w:ascii="仿宋_GB2312" w:hAnsi="仿宋" w:hint="cs"/>
        </w:rPr>
        <w:t>”</w:t>
      </w:r>
      <w:r>
        <w:rPr>
          <w:rFonts w:ascii="仿宋_GB2312" w:hAnsi="仿宋" w:hint="eastAsia"/>
        </w:rPr>
        <w:t>；</w:t>
      </w:r>
      <w:r>
        <w:rPr>
          <w:rFonts w:ascii="仿宋_GB2312" w:hAnsi="仿宋" w:hint="cs"/>
        </w:rPr>
        <w:t>“</w:t>
      </w:r>
      <w:r>
        <w:rPr>
          <w:rFonts w:ascii="仿宋_GB2312" w:hAnsi="仿宋" w:hint="eastAsia"/>
        </w:rPr>
        <w:t>教育硕士</w:t>
      </w:r>
      <w:r>
        <w:rPr>
          <w:rFonts w:ascii="仿宋_GB2312" w:hAnsi="仿宋" w:hint="cs"/>
        </w:rPr>
        <w:t>”</w:t>
      </w:r>
      <w:r>
        <w:rPr>
          <w:rFonts w:ascii="仿宋_GB2312" w:hAnsi="仿宋" w:hint="eastAsia"/>
        </w:rPr>
        <w:t>仅面向中小学教师招生）毕业，且申请任教学科与所学专业一致的，可按全日制师范生政策对待。全日制教育硕士无需提供入学当年招生计划表复印件。</w:t>
      </w:r>
    </w:p>
    <w:p w:rsidR="008A000D" w:rsidRDefault="008A000D" w:rsidP="008A000D">
      <w:pPr>
        <w:ind w:firstLineChars="200" w:firstLine="600"/>
        <w:rPr>
          <w:rFonts w:ascii="仿宋_GB2312" w:hAnsi="仿宋" w:hint="eastAsia"/>
        </w:rPr>
      </w:pPr>
      <w:r>
        <w:rPr>
          <w:rFonts w:ascii="仿宋_GB2312" w:hAnsi="仿宋" w:hint="eastAsia"/>
        </w:rPr>
        <w:t>（2）申请人为硕士研究生，本科学历为全日制师范教育类学历，申请任教学科与其师范类本科学历所学专业学科一致的，可按全日制师范生直接认定政策对待。</w:t>
      </w:r>
    </w:p>
    <w:p w:rsidR="008A000D" w:rsidRDefault="008A000D" w:rsidP="008A000D">
      <w:pPr>
        <w:ind w:firstLineChars="200" w:firstLine="600"/>
        <w:rPr>
          <w:rFonts w:ascii="黑体" w:eastAsia="黑体" w:hAnsi="仿宋" w:hint="eastAsia"/>
        </w:rPr>
      </w:pPr>
      <w:r>
        <w:rPr>
          <w:rFonts w:ascii="黑体" w:eastAsia="黑体" w:hAnsi="仿宋" w:hint="eastAsia"/>
        </w:rPr>
        <w:t>三、关于普通话证书认定的有关说明</w:t>
      </w:r>
    </w:p>
    <w:p w:rsidR="008A000D" w:rsidRDefault="008A000D" w:rsidP="008A000D">
      <w:pPr>
        <w:ind w:firstLineChars="200" w:firstLine="600"/>
        <w:rPr>
          <w:rFonts w:ascii="仿宋_GB2312" w:hAnsi="仿宋" w:hint="eastAsia"/>
        </w:rPr>
      </w:pPr>
      <w:r>
        <w:rPr>
          <w:rFonts w:ascii="仿宋_GB2312" w:hAnsi="仿宋" w:hint="eastAsia"/>
        </w:rPr>
        <w:t>1.1999年以前师范院校师范教育类专业毕业生颁发的普通话水平合格证书为合格证书，之后毕业生持有的普通话水平等级证书均应显示等级。</w:t>
      </w:r>
    </w:p>
    <w:p w:rsidR="008A000D" w:rsidRDefault="008A000D" w:rsidP="008A000D">
      <w:pPr>
        <w:ind w:firstLineChars="200" w:firstLine="600"/>
        <w:rPr>
          <w:rFonts w:ascii="仿宋_GB2312" w:hAnsi="仿宋" w:hint="eastAsia"/>
        </w:rPr>
      </w:pPr>
      <w:r>
        <w:rPr>
          <w:rFonts w:ascii="仿宋_GB2312" w:hAnsi="仿宋" w:hint="eastAsia"/>
        </w:rPr>
        <w:t>2.河南省2001年7月以后的普通话水平等级证书打印有效，手写视为不合格证书。</w:t>
      </w:r>
    </w:p>
    <w:p w:rsidR="008A000D" w:rsidRDefault="008A000D" w:rsidP="008A000D">
      <w:pPr>
        <w:ind w:firstLineChars="200" w:firstLine="600"/>
        <w:rPr>
          <w:rFonts w:ascii="仿宋_GB2312" w:hAnsi="仿宋" w:hint="eastAsia"/>
        </w:rPr>
      </w:pPr>
      <w:r>
        <w:rPr>
          <w:rFonts w:ascii="仿宋_GB2312" w:hAnsi="仿宋" w:hint="eastAsia"/>
        </w:rPr>
        <w:t>3.外省语言文字部门颁发的普通话水平等级证书有效。</w:t>
      </w:r>
    </w:p>
    <w:p w:rsidR="008A000D" w:rsidRDefault="008A000D" w:rsidP="008A000D">
      <w:pPr>
        <w:ind w:firstLineChars="200" w:firstLine="600"/>
        <w:rPr>
          <w:rFonts w:ascii="黑体" w:eastAsia="黑体" w:hAnsi="仿宋" w:hint="eastAsia"/>
        </w:rPr>
      </w:pPr>
      <w:r>
        <w:rPr>
          <w:rFonts w:ascii="黑体" w:eastAsia="黑体" w:hAnsi="仿宋" w:hint="eastAsia"/>
        </w:rPr>
        <w:t>四、关于学历认定的有关说明</w:t>
      </w:r>
    </w:p>
    <w:p w:rsidR="008A000D" w:rsidRDefault="008A000D" w:rsidP="008A000D">
      <w:pPr>
        <w:ind w:firstLineChars="200" w:firstLine="600"/>
        <w:rPr>
          <w:rFonts w:ascii="仿宋_GB2312" w:hint="eastAsia"/>
        </w:rPr>
      </w:pPr>
      <w:r>
        <w:rPr>
          <w:rFonts w:ascii="仿宋_GB2312" w:hAnsi="仿宋" w:cs="仿宋" w:hint="eastAsia"/>
        </w:rPr>
        <w:t>港澳台、</w:t>
      </w:r>
      <w:r>
        <w:rPr>
          <w:rFonts w:ascii="仿宋_GB2312" w:hAnsi="仿宋" w:hint="eastAsia"/>
          <w:spacing w:val="-4"/>
        </w:rPr>
        <w:t>国外学历只认可学历学位层次，不符合全日制师范生直接认定政策。</w:t>
      </w:r>
    </w:p>
    <w:p w:rsidR="00CD640E" w:rsidRPr="008A000D" w:rsidRDefault="00CD640E"/>
    <w:sectPr w:rsidR="00CD640E" w:rsidRPr="008A00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42E"/>
    <w:rsid w:val="00013FC9"/>
    <w:rsid w:val="000305D2"/>
    <w:rsid w:val="000774CB"/>
    <w:rsid w:val="0008442E"/>
    <w:rsid w:val="000E1D95"/>
    <w:rsid w:val="002F4F60"/>
    <w:rsid w:val="00382609"/>
    <w:rsid w:val="004462AA"/>
    <w:rsid w:val="008A000D"/>
    <w:rsid w:val="00B721C3"/>
    <w:rsid w:val="00C60985"/>
    <w:rsid w:val="00CD640E"/>
    <w:rsid w:val="00EE66DD"/>
    <w:rsid w:val="00EF5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59A7"/>
  <w15:chartTrackingRefBased/>
  <w15:docId w15:val="{4BEC0AFC-6516-4FF4-91BC-9CD25751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00D"/>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A000D"/>
    <w:pPr>
      <w:widowControl/>
      <w:spacing w:before="100" w:beforeAutospacing="1" w:after="100" w:afterAutospacing="1"/>
      <w:jc w:val="left"/>
    </w:pPr>
    <w:rPr>
      <w:rFonts w:ascii="宋体" w:hAnsi="宋体" w:cs="宋体"/>
      <w:color w:val="000000"/>
      <w:kern w:val="0"/>
      <w:sz w:val="24"/>
    </w:rPr>
  </w:style>
  <w:style w:type="paragraph" w:customStyle="1" w:styleId="xl23">
    <w:name w:val="xl23"/>
    <w:basedOn w:val="a"/>
    <w:rsid w:val="008A000D"/>
    <w:pPr>
      <w:widowControl/>
      <w:spacing w:before="100" w:beforeAutospacing="1" w:after="100" w:afterAutospacing="1"/>
      <w:jc w:val="center"/>
    </w:pPr>
    <w:rPr>
      <w:rFonts w:ascii="宋体" w:hAnsi="宋体"/>
      <w:kern w:val="0"/>
      <w:sz w:val="28"/>
      <w:szCs w:val="28"/>
    </w:rPr>
  </w:style>
  <w:style w:type="character" w:styleId="a4">
    <w:name w:val="Strong"/>
    <w:basedOn w:val="a0"/>
    <w:qFormat/>
    <w:rsid w:val="008A00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565</Words>
  <Characters>3227</Characters>
  <Application>Microsoft Office Word</Application>
  <DocSecurity>0</DocSecurity>
  <Lines>26</Lines>
  <Paragraphs>7</Paragraphs>
  <ScaleCrop>false</ScaleCrop>
  <Company>daohangxitong.com</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daohangxitong.com</dc:creator>
  <cp:keywords/>
  <dc:description/>
  <cp:lastModifiedBy>daohangxitong.com</cp:lastModifiedBy>
  <cp:revision>10</cp:revision>
  <dcterms:created xsi:type="dcterms:W3CDTF">2019-04-12T08:08:00Z</dcterms:created>
  <dcterms:modified xsi:type="dcterms:W3CDTF">2019-04-12T08:53:00Z</dcterms:modified>
</cp:coreProperties>
</file>