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黑体" w:eastAsia="黑体"/>
        </w:rPr>
      </w:pPr>
      <w:r>
        <w:rPr>
          <w:rFonts w:hint="eastAsia" w:ascii="黑体" w:eastAsia="黑体"/>
        </w:rPr>
        <w:t>附件1</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6"/>
        <w:gridCol w:w="17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1466" w:type="dxa"/>
            <w:tcBorders>
              <w:top w:val="single" w:color="auto" w:sz="4" w:space="0"/>
              <w:left w:val="single" w:color="auto" w:sz="4" w:space="0"/>
              <w:bottom w:val="single" w:color="auto" w:sz="4" w:space="0"/>
              <w:right w:val="single" w:color="auto" w:sz="4" w:space="0"/>
            </w:tcBorders>
            <w:vAlign w:val="center"/>
          </w:tcPr>
          <w:p>
            <w:pPr>
              <w:rPr>
                <w:rFonts w:ascii="黑体" w:eastAsia="黑体"/>
                <w:sz w:val="26"/>
              </w:rPr>
            </w:pPr>
            <w:r>
              <w:rPr>
                <w:rFonts w:hint="eastAsia" w:ascii="黑体" w:eastAsia="黑体"/>
                <w:sz w:val="26"/>
              </w:rPr>
              <w:t>学科名称</w:t>
            </w:r>
          </w:p>
        </w:tc>
        <w:tc>
          <w:tcPr>
            <w:tcW w:w="1722" w:type="dxa"/>
            <w:tcBorders>
              <w:top w:val="single" w:color="auto" w:sz="4" w:space="0"/>
              <w:left w:val="single" w:color="auto" w:sz="4" w:space="0"/>
              <w:bottom w:val="single" w:color="auto" w:sz="4" w:space="0"/>
              <w:right w:val="single" w:color="auto" w:sz="4" w:space="0"/>
            </w:tcBorders>
            <w:vAlign w:val="center"/>
          </w:tcPr>
          <w:p>
            <w:pPr>
              <w:rPr>
                <w:rFonts w:ascii="黑体" w:eastAsia="黑体"/>
                <w:sz w:val="26"/>
              </w:rPr>
            </w:pPr>
            <w:r>
              <w:rPr>
                <w:rFonts w:eastAsia="黑体"/>
                <w:sz w:val="26"/>
                <w:szCs w:val="26"/>
              </w:rPr>
              <w:t>农业工程</w:t>
            </w:r>
          </w:p>
        </w:tc>
      </w:tr>
    </w:tbl>
    <w:p>
      <w:pPr>
        <w:rPr>
          <w:rFonts w:ascii="黑体" w:eastAsia="黑体"/>
          <w:sz w:val="26"/>
          <w:szCs w:val="20"/>
        </w:rPr>
      </w:pPr>
    </w:p>
    <w:p>
      <w:pPr>
        <w:rPr>
          <w:rFonts w:ascii="黑体" w:eastAsia="黑体"/>
          <w:sz w:val="26"/>
        </w:rPr>
      </w:pPr>
    </w:p>
    <w:p>
      <w:pPr>
        <w:snapToGrid w:val="0"/>
        <w:jc w:val="center"/>
        <w:rPr>
          <w:rFonts w:eastAsia="方正小标宋简体"/>
          <w:sz w:val="46"/>
        </w:rPr>
      </w:pPr>
      <w:r>
        <w:rPr>
          <w:rFonts w:hint="eastAsia" w:eastAsia="方正小标宋简体"/>
          <w:sz w:val="46"/>
        </w:rPr>
        <w:t>河南省高等学校青年骨干教师考核报告</w:t>
      </w:r>
    </w:p>
    <w:p/>
    <w:p/>
    <w:p>
      <w:pPr>
        <w:snapToGrid w:val="0"/>
      </w:pPr>
    </w:p>
    <w:p>
      <w:pPr>
        <w:snapToGrid w:val="0"/>
        <w:ind w:firstLine="630"/>
      </w:pPr>
      <w:r>
        <w:rPr>
          <w:rFonts w:hint="eastAsia"/>
        </w:rPr>
        <w:t>项目名称：</w:t>
      </w:r>
      <w:r>
        <w:rPr>
          <w:rFonts w:hint="eastAsia"/>
          <w:u w:val="single"/>
        </w:rPr>
        <w:t>　生物质秸秆光合产氢体系传质特性研究 　</w:t>
      </w:r>
    </w:p>
    <w:p>
      <w:pPr>
        <w:snapToGrid w:val="0"/>
      </w:pPr>
    </w:p>
    <w:p>
      <w:pPr>
        <w:snapToGrid w:val="0"/>
      </w:pPr>
    </w:p>
    <w:p>
      <w:pPr>
        <w:snapToGrid w:val="0"/>
        <w:ind w:firstLine="630"/>
      </w:pPr>
      <w:r>
        <w:rPr>
          <w:rFonts w:hint="eastAsia"/>
        </w:rPr>
        <w:t>起止时间：　</w:t>
      </w:r>
      <w:r>
        <w:rPr>
          <w:rFonts w:hint="eastAsia"/>
          <w:u w:val="single"/>
        </w:rPr>
        <w:t>　 2</w:t>
      </w:r>
      <w:r>
        <w:rPr>
          <w:u w:val="single"/>
        </w:rPr>
        <w:t>017</w:t>
      </w:r>
      <w:r>
        <w:rPr>
          <w:rFonts w:hint="eastAsia"/>
          <w:u w:val="single"/>
        </w:rPr>
        <w:t xml:space="preserve">年 </w:t>
      </w:r>
      <w:r>
        <w:rPr>
          <w:u w:val="single"/>
        </w:rPr>
        <w:t xml:space="preserve">  </w:t>
      </w:r>
      <w:r>
        <w:rPr>
          <w:rFonts w:hint="eastAsia"/>
          <w:u w:val="single"/>
        </w:rPr>
        <w:t>　</w:t>
      </w:r>
      <w:r>
        <w:rPr>
          <w:rFonts w:hint="eastAsia"/>
        </w:rPr>
        <w:t>至</w:t>
      </w:r>
      <w:r>
        <w:rPr>
          <w:rFonts w:hint="eastAsia"/>
          <w:u w:val="single"/>
        </w:rPr>
        <w:t xml:space="preserve">　 </w:t>
      </w:r>
      <w:r>
        <w:rPr>
          <w:u w:val="single"/>
        </w:rPr>
        <w:t xml:space="preserve">  </w:t>
      </w:r>
      <w:r>
        <w:rPr>
          <w:rFonts w:hint="eastAsia"/>
          <w:u w:val="single"/>
        </w:rPr>
        <w:t>2</w:t>
      </w:r>
      <w:r>
        <w:rPr>
          <w:u w:val="single"/>
        </w:rPr>
        <w:t>020</w:t>
      </w:r>
      <w:r>
        <w:rPr>
          <w:rFonts w:hint="eastAsia"/>
          <w:u w:val="single"/>
        </w:rPr>
        <w:t>年</w:t>
      </w:r>
      <w:r>
        <w:rPr>
          <w:u w:val="single"/>
        </w:rPr>
        <w:t xml:space="preserve"> </w:t>
      </w:r>
      <w:r>
        <w:rPr>
          <w:rFonts w:hint="eastAsia"/>
          <w:u w:val="single"/>
        </w:rPr>
        <w:t>　</w:t>
      </w:r>
    </w:p>
    <w:p>
      <w:pPr>
        <w:snapToGrid w:val="0"/>
      </w:pPr>
    </w:p>
    <w:p>
      <w:pPr>
        <w:snapToGrid w:val="0"/>
      </w:pPr>
    </w:p>
    <w:p>
      <w:pPr>
        <w:snapToGrid w:val="0"/>
        <w:ind w:firstLine="630"/>
      </w:pPr>
      <w:r>
        <w:rPr>
          <w:rFonts w:hint="eastAsia"/>
        </w:rPr>
        <w:t>培养对象姓名：</w:t>
      </w:r>
      <w:r>
        <w:rPr>
          <w:rFonts w:hint="eastAsia"/>
          <w:u w:val="single"/>
        </w:rPr>
        <w:t>　荆艳艳　</w:t>
      </w:r>
      <w:r>
        <w:rPr>
          <w:u w:val="single"/>
        </w:rPr>
        <w:t xml:space="preserve">  </w:t>
      </w:r>
      <w:r>
        <w:rPr>
          <w:rFonts w:hint="eastAsia"/>
          <w:u w:val="single"/>
        </w:rPr>
        <w:t>　　</w:t>
      </w:r>
      <w:r>
        <w:rPr>
          <w:rFonts w:hint="eastAsia"/>
        </w:rPr>
        <w:t>专业技术职务：</w:t>
      </w:r>
      <w:r>
        <w:rPr>
          <w:u w:val="single"/>
        </w:rPr>
        <w:t xml:space="preserve"> 副教授</w:t>
      </w:r>
    </w:p>
    <w:p>
      <w:pPr>
        <w:snapToGrid w:val="0"/>
      </w:pPr>
    </w:p>
    <w:p>
      <w:pPr>
        <w:snapToGrid w:val="0"/>
      </w:pPr>
    </w:p>
    <w:p>
      <w:pPr>
        <w:snapToGrid w:val="0"/>
        <w:ind w:firstLine="630"/>
      </w:pPr>
      <w:r>
        <w:rPr>
          <w:rFonts w:hint="eastAsia"/>
        </w:rPr>
        <w:t>学</w:t>
      </w:r>
      <w:r>
        <w:t xml:space="preserve">    </w:t>
      </w:r>
      <w:r>
        <w:rPr>
          <w:rFonts w:hint="eastAsia"/>
        </w:rPr>
        <w:t>校：</w:t>
      </w:r>
      <w:r>
        <w:rPr>
          <w:rFonts w:hint="eastAsia"/>
          <w:u w:val="single"/>
        </w:rPr>
        <w:t>　　</w:t>
      </w:r>
      <w:r>
        <w:rPr>
          <w:u w:val="single"/>
        </w:rPr>
        <w:t xml:space="preserve"> </w:t>
      </w:r>
      <w:r>
        <w:rPr>
          <w:rFonts w:hint="eastAsia"/>
          <w:u w:val="single"/>
        </w:rPr>
        <w:t>　　</w:t>
      </w:r>
      <w:r>
        <w:rPr>
          <w:u w:val="single"/>
        </w:rPr>
        <w:t>河南农业大学</w:t>
      </w:r>
      <w:r>
        <w:rPr>
          <w:rFonts w:hint="eastAsia"/>
          <w:u w:val="single"/>
        </w:rPr>
        <w:t>　　　</w:t>
      </w:r>
      <w:r>
        <w:rPr>
          <w:u w:val="single"/>
        </w:rPr>
        <w:t xml:space="preserve">       </w:t>
      </w:r>
      <w:r>
        <w:rPr>
          <w:rFonts w:hint="eastAsia"/>
          <w:u w:val="single"/>
        </w:rPr>
        <w:t>　</w:t>
      </w:r>
    </w:p>
    <w:p>
      <w:pPr>
        <w:snapToGrid w:val="0"/>
      </w:pPr>
    </w:p>
    <w:p>
      <w:pPr>
        <w:snapToGrid w:val="0"/>
      </w:pPr>
    </w:p>
    <w:p>
      <w:r>
        <w:rPr>
          <w:rFonts w:hint="eastAsia"/>
        </w:rPr>
        <w:t>　　填表日期：</w:t>
      </w:r>
      <w:r>
        <w:rPr>
          <w:u w:val="single"/>
        </w:rPr>
        <w:t xml:space="preserve">         2020年</w:t>
      </w:r>
      <w:r>
        <w:rPr>
          <w:rFonts w:hint="eastAsia"/>
          <w:u w:val="single"/>
          <w:lang w:val="en-US" w:eastAsia="zh-CN"/>
        </w:rPr>
        <w:t>11</w:t>
      </w:r>
      <w:bookmarkStart w:id="4" w:name="_GoBack"/>
      <w:bookmarkEnd w:id="4"/>
      <w:r>
        <w:rPr>
          <w:u w:val="single"/>
        </w:rPr>
        <w:t xml:space="preserve">月26日           </w:t>
      </w:r>
    </w:p>
    <w:p/>
    <w:p/>
    <w:p/>
    <w:p>
      <w:pPr>
        <w:jc w:val="center"/>
        <w:rPr>
          <w:rFonts w:eastAsia="楷体_GB2312"/>
          <w:sz w:val="28"/>
          <w:szCs w:val="28"/>
        </w:rPr>
      </w:pPr>
      <w:r>
        <w:rPr>
          <w:rFonts w:hint="eastAsia" w:eastAsia="楷体_GB2312"/>
          <w:sz w:val="28"/>
          <w:szCs w:val="28"/>
        </w:rPr>
        <w:t>河</w:t>
      </w:r>
      <w:r>
        <w:rPr>
          <w:rFonts w:eastAsia="楷体_GB2312"/>
          <w:sz w:val="28"/>
          <w:szCs w:val="28"/>
        </w:rPr>
        <w:t xml:space="preserve"> </w:t>
      </w:r>
      <w:r>
        <w:rPr>
          <w:rFonts w:hint="eastAsia" w:eastAsia="楷体_GB2312"/>
          <w:sz w:val="28"/>
          <w:szCs w:val="28"/>
        </w:rPr>
        <w:t>南</w:t>
      </w:r>
      <w:r>
        <w:rPr>
          <w:rFonts w:eastAsia="楷体_GB2312"/>
          <w:sz w:val="28"/>
          <w:szCs w:val="28"/>
        </w:rPr>
        <w:t xml:space="preserve"> </w:t>
      </w:r>
      <w:r>
        <w:rPr>
          <w:rFonts w:hint="eastAsia" w:eastAsia="楷体_GB2312"/>
          <w:sz w:val="28"/>
          <w:szCs w:val="28"/>
        </w:rPr>
        <w:t>省</w:t>
      </w:r>
      <w:r>
        <w:rPr>
          <w:rFonts w:eastAsia="楷体_GB2312"/>
          <w:sz w:val="28"/>
          <w:szCs w:val="28"/>
        </w:rPr>
        <w:t xml:space="preserve"> </w:t>
      </w:r>
      <w:r>
        <w:rPr>
          <w:rFonts w:hint="eastAsia" w:eastAsia="楷体_GB2312"/>
          <w:sz w:val="28"/>
          <w:szCs w:val="28"/>
        </w:rPr>
        <w:t>教</w:t>
      </w:r>
      <w:r>
        <w:rPr>
          <w:rFonts w:eastAsia="楷体_GB2312"/>
          <w:sz w:val="28"/>
          <w:szCs w:val="28"/>
        </w:rPr>
        <w:t xml:space="preserve"> </w:t>
      </w:r>
      <w:r>
        <w:rPr>
          <w:rFonts w:hint="eastAsia" w:eastAsia="楷体_GB2312"/>
          <w:sz w:val="28"/>
          <w:szCs w:val="28"/>
        </w:rPr>
        <w:t>育</w:t>
      </w:r>
      <w:r>
        <w:rPr>
          <w:rFonts w:eastAsia="楷体_GB2312"/>
          <w:sz w:val="28"/>
          <w:szCs w:val="28"/>
        </w:rPr>
        <w:t xml:space="preserve"> </w:t>
      </w:r>
      <w:r>
        <w:rPr>
          <w:rFonts w:hint="eastAsia" w:eastAsia="楷体_GB2312"/>
          <w:sz w:val="28"/>
          <w:szCs w:val="28"/>
        </w:rPr>
        <w:t>厅</w:t>
      </w:r>
      <w:r>
        <w:rPr>
          <w:rFonts w:eastAsia="楷体_GB2312"/>
          <w:sz w:val="28"/>
          <w:szCs w:val="28"/>
        </w:rPr>
        <w:t xml:space="preserve"> </w:t>
      </w:r>
      <w:r>
        <w:rPr>
          <w:rFonts w:hint="eastAsia" w:eastAsia="楷体_GB2312"/>
          <w:sz w:val="28"/>
          <w:szCs w:val="28"/>
        </w:rPr>
        <w:t>制</w:t>
      </w:r>
    </w:p>
    <w:p>
      <w:pPr>
        <w:rPr>
          <w:rFonts w:ascii="黑体" w:eastAsia="黑体"/>
          <w:szCs w:val="20"/>
        </w:rPr>
      </w:pPr>
      <w:r>
        <w:rPr>
          <w:rFonts w:hint="eastAsia" w:ascii="黑体" w:eastAsia="黑体"/>
          <w:sz w:val="26"/>
        </w:rPr>
        <w:br w:type="page"/>
      </w:r>
      <w:r>
        <w:rPr>
          <w:rFonts w:hint="eastAsia" w:ascii="黑体" w:eastAsia="黑体"/>
        </w:rPr>
        <w:t>一、基本情况</w:t>
      </w:r>
    </w:p>
    <w:tbl>
      <w:tblPr>
        <w:tblStyle w:val="5"/>
        <w:tblW w:w="89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0"/>
        <w:gridCol w:w="659"/>
        <w:gridCol w:w="887"/>
        <w:gridCol w:w="657"/>
        <w:gridCol w:w="759"/>
        <w:gridCol w:w="785"/>
        <w:gridCol w:w="53"/>
        <w:gridCol w:w="435"/>
        <w:gridCol w:w="752"/>
        <w:gridCol w:w="925"/>
        <w:gridCol w:w="170"/>
        <w:gridCol w:w="1068"/>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219" w:type="dxa"/>
            <w:gridSpan w:val="2"/>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姓名</w:t>
            </w:r>
          </w:p>
        </w:tc>
        <w:tc>
          <w:tcPr>
            <w:tcW w:w="1544" w:type="dxa"/>
            <w:gridSpan w:val="2"/>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荆艳艳</w:t>
            </w:r>
          </w:p>
        </w:tc>
        <w:tc>
          <w:tcPr>
            <w:tcW w:w="759"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性别</w:t>
            </w:r>
          </w:p>
        </w:tc>
        <w:tc>
          <w:tcPr>
            <w:tcW w:w="785"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女</w:t>
            </w:r>
          </w:p>
        </w:tc>
        <w:tc>
          <w:tcPr>
            <w:tcW w:w="1240" w:type="dxa"/>
            <w:gridSpan w:val="3"/>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民族</w:t>
            </w:r>
          </w:p>
        </w:tc>
        <w:tc>
          <w:tcPr>
            <w:tcW w:w="925"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汉</w:t>
            </w:r>
          </w:p>
        </w:tc>
        <w:tc>
          <w:tcPr>
            <w:tcW w:w="1238" w:type="dxa"/>
            <w:gridSpan w:val="2"/>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出生日期</w:t>
            </w:r>
          </w:p>
        </w:tc>
        <w:tc>
          <w:tcPr>
            <w:tcW w:w="1260"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1</w:t>
            </w:r>
            <w:r>
              <w:rPr>
                <w:sz w:val="24"/>
                <w:szCs w:val="24"/>
              </w:rPr>
              <w:t>982</w:t>
            </w:r>
            <w:r>
              <w:rPr>
                <w:rFonts w:hint="eastAsia"/>
                <w:sz w:val="24"/>
                <w:szCs w:val="24"/>
              </w:rPr>
              <w:t>.0</w:t>
            </w:r>
            <w:r>
              <w:rPr>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219" w:type="dxa"/>
            <w:gridSpan w:val="2"/>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所在单位</w:t>
            </w:r>
          </w:p>
        </w:tc>
        <w:tc>
          <w:tcPr>
            <w:tcW w:w="3088" w:type="dxa"/>
            <w:gridSpan w:val="4"/>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sz w:val="24"/>
                <w:szCs w:val="24"/>
              </w:rPr>
              <w:t>河南农业大学</w:t>
            </w:r>
          </w:p>
        </w:tc>
        <w:tc>
          <w:tcPr>
            <w:tcW w:w="1240" w:type="dxa"/>
            <w:gridSpan w:val="3"/>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行政职务</w:t>
            </w:r>
          </w:p>
        </w:tc>
        <w:tc>
          <w:tcPr>
            <w:tcW w:w="925"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无</w:t>
            </w:r>
          </w:p>
        </w:tc>
        <w:tc>
          <w:tcPr>
            <w:tcW w:w="1238" w:type="dxa"/>
            <w:gridSpan w:val="2"/>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专业职务</w:t>
            </w:r>
          </w:p>
        </w:tc>
        <w:tc>
          <w:tcPr>
            <w:tcW w:w="1260"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sz w:val="24"/>
                <w:szCs w:val="24"/>
              </w:rPr>
              <w:t>副教授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219" w:type="dxa"/>
            <w:gridSpan w:val="2"/>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研究专长</w:t>
            </w:r>
          </w:p>
        </w:tc>
        <w:tc>
          <w:tcPr>
            <w:tcW w:w="3088" w:type="dxa"/>
            <w:gridSpan w:val="4"/>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可再生能源转化技术</w:t>
            </w:r>
          </w:p>
        </w:tc>
        <w:tc>
          <w:tcPr>
            <w:tcW w:w="1240" w:type="dxa"/>
            <w:gridSpan w:val="3"/>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学历</w:t>
            </w:r>
          </w:p>
        </w:tc>
        <w:tc>
          <w:tcPr>
            <w:tcW w:w="925"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研究生</w:t>
            </w:r>
          </w:p>
        </w:tc>
        <w:tc>
          <w:tcPr>
            <w:tcW w:w="1238" w:type="dxa"/>
            <w:gridSpan w:val="2"/>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学位</w:t>
            </w:r>
          </w:p>
        </w:tc>
        <w:tc>
          <w:tcPr>
            <w:tcW w:w="1260" w:type="dxa"/>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sz w:val="24"/>
                <w:szCs w:val="24"/>
              </w:rPr>
              <w:t>博士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1219" w:type="dxa"/>
            <w:gridSpan w:val="2"/>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电子信箱</w:t>
            </w:r>
          </w:p>
        </w:tc>
        <w:tc>
          <w:tcPr>
            <w:tcW w:w="3576" w:type="dxa"/>
            <w:gridSpan w:val="6"/>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sz w:val="24"/>
                <w:szCs w:val="24"/>
              </w:rPr>
              <w:t>jingyanyan123@126.com</w:t>
            </w:r>
          </w:p>
        </w:tc>
        <w:tc>
          <w:tcPr>
            <w:tcW w:w="1677" w:type="dxa"/>
            <w:gridSpan w:val="2"/>
            <w:tcBorders>
              <w:top w:val="single" w:color="auto" w:sz="4" w:space="0"/>
              <w:left w:val="single" w:color="auto" w:sz="4" w:space="0"/>
              <w:bottom w:val="single" w:color="auto" w:sz="4" w:space="0"/>
              <w:right w:val="single" w:color="auto" w:sz="4" w:space="0"/>
            </w:tcBorders>
            <w:vAlign w:val="center"/>
          </w:tcPr>
          <w:p>
            <w:pPr>
              <w:ind w:firstLine="240" w:firstLineChars="100"/>
              <w:jc w:val="center"/>
              <w:rPr>
                <w:sz w:val="24"/>
                <w:szCs w:val="24"/>
              </w:rPr>
            </w:pPr>
            <w:r>
              <w:rPr>
                <w:rFonts w:hint="eastAsia"/>
                <w:sz w:val="24"/>
                <w:szCs w:val="24"/>
              </w:rPr>
              <w:t>电</w:t>
            </w:r>
            <w:r>
              <w:rPr>
                <w:sz w:val="24"/>
                <w:szCs w:val="24"/>
              </w:rPr>
              <w:t xml:space="preserve">  </w:t>
            </w:r>
            <w:r>
              <w:rPr>
                <w:rFonts w:hint="eastAsia"/>
                <w:sz w:val="24"/>
                <w:szCs w:val="24"/>
              </w:rPr>
              <w:t>话</w:t>
            </w:r>
          </w:p>
        </w:tc>
        <w:tc>
          <w:tcPr>
            <w:tcW w:w="2498" w:type="dxa"/>
            <w:gridSpan w:val="3"/>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1</w:t>
            </w:r>
            <w:r>
              <w:rPr>
                <w:sz w:val="24"/>
                <w:szCs w:val="24"/>
              </w:rPr>
              <w:t>3253506836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560" w:type="dxa"/>
            <w:vMerge w:val="restart"/>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研</w:t>
            </w:r>
          </w:p>
          <w:p>
            <w:pPr>
              <w:jc w:val="center"/>
              <w:rPr>
                <w:sz w:val="24"/>
                <w:szCs w:val="24"/>
              </w:rPr>
            </w:pPr>
          </w:p>
          <w:p>
            <w:pPr>
              <w:jc w:val="center"/>
              <w:rPr>
                <w:sz w:val="24"/>
                <w:szCs w:val="24"/>
              </w:rPr>
            </w:pPr>
            <w:r>
              <w:rPr>
                <w:rFonts w:hint="eastAsia"/>
                <w:sz w:val="24"/>
                <w:szCs w:val="24"/>
              </w:rPr>
              <w:t>究</w:t>
            </w:r>
          </w:p>
          <w:p>
            <w:pPr>
              <w:jc w:val="center"/>
              <w:rPr>
                <w:sz w:val="24"/>
                <w:szCs w:val="24"/>
              </w:rPr>
            </w:pPr>
          </w:p>
          <w:p>
            <w:pPr>
              <w:jc w:val="center"/>
              <w:rPr>
                <w:sz w:val="24"/>
                <w:szCs w:val="24"/>
              </w:rPr>
            </w:pPr>
            <w:r>
              <w:rPr>
                <w:rFonts w:hint="eastAsia"/>
                <w:sz w:val="24"/>
                <w:szCs w:val="24"/>
              </w:rPr>
              <w:t>项</w:t>
            </w:r>
          </w:p>
          <w:p>
            <w:pPr>
              <w:jc w:val="center"/>
              <w:rPr>
                <w:sz w:val="24"/>
                <w:szCs w:val="24"/>
              </w:rPr>
            </w:pPr>
          </w:p>
          <w:p>
            <w:pPr>
              <w:jc w:val="center"/>
              <w:rPr>
                <w:sz w:val="24"/>
                <w:szCs w:val="24"/>
              </w:rPr>
            </w:pPr>
            <w:r>
              <w:rPr>
                <w:rFonts w:hint="eastAsia"/>
                <w:sz w:val="24"/>
                <w:szCs w:val="24"/>
              </w:rPr>
              <w:t>目</w:t>
            </w:r>
          </w:p>
        </w:tc>
        <w:tc>
          <w:tcPr>
            <w:tcW w:w="1546" w:type="dxa"/>
            <w:gridSpan w:val="2"/>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项目名称</w:t>
            </w:r>
          </w:p>
        </w:tc>
        <w:tc>
          <w:tcPr>
            <w:tcW w:w="6864" w:type="dxa"/>
            <w:gridSpan w:val="10"/>
            <w:tcBorders>
              <w:top w:val="single" w:color="auto" w:sz="4" w:space="0"/>
              <w:left w:val="single" w:color="auto" w:sz="4" w:space="0"/>
              <w:bottom w:val="single" w:color="auto" w:sz="4" w:space="0"/>
              <w:right w:val="single" w:color="auto" w:sz="4" w:space="0"/>
            </w:tcBorders>
            <w:vAlign w:val="center"/>
          </w:tcPr>
          <w:p>
            <w:pPr>
              <w:rPr>
                <w:sz w:val="24"/>
                <w:szCs w:val="24"/>
              </w:rPr>
            </w:pPr>
            <w:r>
              <w:rPr>
                <w:rFonts w:hint="eastAsia"/>
                <w:sz w:val="24"/>
              </w:rPr>
              <w:t>生物质秸秆光合产氢体系传质特性研究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5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24"/>
                <w:szCs w:val="24"/>
              </w:rPr>
            </w:pPr>
          </w:p>
        </w:tc>
        <w:tc>
          <w:tcPr>
            <w:tcW w:w="1546" w:type="dxa"/>
            <w:gridSpan w:val="2"/>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一级学科</w:t>
            </w:r>
          </w:p>
        </w:tc>
        <w:tc>
          <w:tcPr>
            <w:tcW w:w="2254" w:type="dxa"/>
            <w:gridSpan w:val="4"/>
            <w:tcBorders>
              <w:top w:val="single" w:color="auto" w:sz="4" w:space="0"/>
              <w:left w:val="single" w:color="auto" w:sz="4" w:space="0"/>
              <w:bottom w:val="single" w:color="auto" w:sz="4" w:space="0"/>
              <w:right w:val="single" w:color="auto" w:sz="4" w:space="0"/>
            </w:tcBorders>
            <w:vAlign w:val="center"/>
          </w:tcPr>
          <w:p>
            <w:pPr>
              <w:rPr>
                <w:sz w:val="24"/>
                <w:szCs w:val="24"/>
              </w:rPr>
            </w:pPr>
            <w:r>
              <w:rPr>
                <w:sz w:val="24"/>
              </w:rPr>
              <w:t>农业工程</w:t>
            </w:r>
          </w:p>
        </w:tc>
        <w:tc>
          <w:tcPr>
            <w:tcW w:w="2282" w:type="dxa"/>
            <w:gridSpan w:val="4"/>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学科门类</w:t>
            </w:r>
          </w:p>
        </w:tc>
        <w:tc>
          <w:tcPr>
            <w:tcW w:w="2328" w:type="dxa"/>
            <w:gridSpan w:val="2"/>
            <w:tcBorders>
              <w:top w:val="single" w:color="auto" w:sz="4" w:space="0"/>
              <w:left w:val="single" w:color="auto" w:sz="4" w:space="0"/>
              <w:bottom w:val="single" w:color="auto" w:sz="4" w:space="0"/>
              <w:right w:val="single" w:color="auto" w:sz="4" w:space="0"/>
            </w:tcBorders>
            <w:vAlign w:val="center"/>
          </w:tcPr>
          <w:p>
            <w:pPr>
              <w:rPr>
                <w:sz w:val="24"/>
                <w:szCs w:val="24"/>
              </w:rPr>
            </w:pPr>
            <w:r>
              <w:rPr>
                <w:sz w:val="24"/>
                <w:szCs w:val="24"/>
              </w:rPr>
              <w:t>工学类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5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24"/>
                <w:szCs w:val="24"/>
              </w:rPr>
            </w:pPr>
          </w:p>
        </w:tc>
        <w:tc>
          <w:tcPr>
            <w:tcW w:w="1546" w:type="dxa"/>
            <w:gridSpan w:val="2"/>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研究类别</w:t>
            </w:r>
          </w:p>
        </w:tc>
        <w:tc>
          <w:tcPr>
            <w:tcW w:w="6864" w:type="dxa"/>
            <w:gridSpan w:val="10"/>
            <w:tcBorders>
              <w:top w:val="single" w:color="auto" w:sz="4" w:space="0"/>
              <w:left w:val="single" w:color="auto" w:sz="4" w:space="0"/>
              <w:bottom w:val="single" w:color="auto" w:sz="4" w:space="0"/>
              <w:right w:val="single" w:color="auto" w:sz="4" w:space="0"/>
            </w:tcBorders>
            <w:vAlign w:val="center"/>
          </w:tcPr>
          <w:p>
            <w:pPr>
              <w:rPr>
                <w:sz w:val="24"/>
                <w:szCs w:val="24"/>
              </w:rPr>
            </w:pPr>
            <w:r>
              <w:rPr>
                <w:sz w:val="24"/>
                <w:szCs w:val="24"/>
              </w:rPr>
              <w:fldChar w:fldCharType="begin"/>
            </w:r>
            <w:r>
              <w:rPr>
                <w:sz w:val="24"/>
                <w:szCs w:val="24"/>
              </w:rPr>
              <w:instrText xml:space="preserve"> </w:instrText>
            </w:r>
            <w:r>
              <w:rPr>
                <w:rFonts w:hint="eastAsia"/>
                <w:sz w:val="24"/>
                <w:szCs w:val="24"/>
              </w:rPr>
              <w:instrText xml:space="preserve">eq \o\ac(□,1)</w:instrText>
            </w:r>
            <w:r>
              <w:rPr>
                <w:sz w:val="24"/>
                <w:szCs w:val="24"/>
              </w:rPr>
              <w:fldChar w:fldCharType="end"/>
            </w:r>
            <w:r>
              <w:rPr>
                <w:rFonts w:hint="eastAsia"/>
                <w:sz w:val="24"/>
                <w:szCs w:val="24"/>
              </w:rPr>
              <w:t>、基础</w:t>
            </w:r>
            <w:r>
              <w:rPr>
                <w:sz w:val="24"/>
                <w:szCs w:val="24"/>
              </w:rPr>
              <w:t xml:space="preserve">      2</w:t>
            </w:r>
            <w:r>
              <w:rPr>
                <w:rFonts w:hint="eastAsia"/>
                <w:sz w:val="24"/>
                <w:szCs w:val="24"/>
              </w:rPr>
              <w:t>、应用</w:t>
            </w:r>
            <w:r>
              <w:rPr>
                <w:sz w:val="24"/>
                <w:szCs w:val="24"/>
              </w:rPr>
              <w:t xml:space="preserve">      3</w:t>
            </w:r>
            <w:r>
              <w:rPr>
                <w:rFonts w:hint="eastAsia"/>
                <w:sz w:val="24"/>
                <w:szCs w:val="24"/>
              </w:rPr>
              <w:t>、教学类</w:t>
            </w:r>
            <w:r>
              <w:rPr>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5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24"/>
                <w:szCs w:val="24"/>
              </w:rPr>
            </w:pPr>
          </w:p>
        </w:tc>
        <w:tc>
          <w:tcPr>
            <w:tcW w:w="3800" w:type="dxa"/>
            <w:gridSpan w:val="6"/>
            <w:tcBorders>
              <w:top w:val="single" w:color="auto" w:sz="4" w:space="0"/>
              <w:left w:val="single" w:color="auto" w:sz="4" w:space="0"/>
              <w:bottom w:val="single" w:color="auto" w:sz="4" w:space="0"/>
              <w:right w:val="single" w:color="auto" w:sz="4" w:space="0"/>
            </w:tcBorders>
            <w:vAlign w:val="center"/>
          </w:tcPr>
          <w:p>
            <w:pPr>
              <w:rPr>
                <w:sz w:val="24"/>
                <w:szCs w:val="24"/>
              </w:rPr>
            </w:pPr>
            <w:r>
              <w:rPr>
                <w:rFonts w:hint="eastAsia"/>
                <w:sz w:val="24"/>
                <w:szCs w:val="24"/>
              </w:rPr>
              <w:t>资助金额</w:t>
            </w:r>
            <w:r>
              <w:rPr>
                <w:sz w:val="24"/>
                <w:szCs w:val="24"/>
              </w:rPr>
              <w:t xml:space="preserve">      2 </w:t>
            </w:r>
            <w:r>
              <w:rPr>
                <w:rFonts w:hint="eastAsia"/>
                <w:sz w:val="24"/>
                <w:szCs w:val="24"/>
              </w:rPr>
              <w:t>万元</w:t>
            </w:r>
          </w:p>
        </w:tc>
        <w:tc>
          <w:tcPr>
            <w:tcW w:w="4610" w:type="dxa"/>
            <w:gridSpan w:val="6"/>
            <w:tcBorders>
              <w:top w:val="single" w:color="auto" w:sz="4" w:space="0"/>
              <w:left w:val="single" w:color="auto" w:sz="4" w:space="0"/>
              <w:bottom w:val="single" w:color="auto" w:sz="4" w:space="0"/>
              <w:right w:val="single" w:color="auto" w:sz="4" w:space="0"/>
            </w:tcBorders>
            <w:vAlign w:val="center"/>
          </w:tcPr>
          <w:p>
            <w:pPr>
              <w:rPr>
                <w:sz w:val="24"/>
                <w:szCs w:val="24"/>
              </w:rPr>
            </w:pPr>
            <w:r>
              <w:rPr>
                <w:rFonts w:hint="eastAsia"/>
                <w:sz w:val="24"/>
                <w:szCs w:val="24"/>
              </w:rPr>
              <w:t>学校配套金额</w:t>
            </w:r>
            <w:r>
              <w:rPr>
                <w:sz w:val="24"/>
                <w:szCs w:val="24"/>
              </w:rPr>
              <w:t xml:space="preserve">                1</w:t>
            </w:r>
            <w:r>
              <w:rPr>
                <w:rFonts w:hint="eastAsia"/>
                <w:sz w:val="24"/>
                <w:szCs w:val="24"/>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0" w:hRule="atLeast"/>
          <w:jc w:val="center"/>
        </w:trPr>
        <w:tc>
          <w:tcPr>
            <w:tcW w:w="5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24"/>
                <w:szCs w:val="24"/>
              </w:rPr>
            </w:pPr>
          </w:p>
        </w:tc>
        <w:tc>
          <w:tcPr>
            <w:tcW w:w="1546" w:type="dxa"/>
            <w:gridSpan w:val="2"/>
            <w:tcBorders>
              <w:top w:val="single" w:color="auto" w:sz="4" w:space="0"/>
              <w:left w:val="single" w:color="auto" w:sz="4" w:space="0"/>
              <w:bottom w:val="single" w:color="auto" w:sz="4" w:space="0"/>
              <w:right w:val="single" w:color="auto" w:sz="4" w:space="0"/>
            </w:tcBorders>
            <w:vAlign w:val="center"/>
          </w:tcPr>
          <w:p>
            <w:pPr>
              <w:rPr>
                <w:sz w:val="24"/>
                <w:szCs w:val="24"/>
              </w:rPr>
            </w:pPr>
            <w:r>
              <w:rPr>
                <w:rFonts w:hint="eastAsia"/>
                <w:sz w:val="24"/>
                <w:szCs w:val="24"/>
              </w:rPr>
              <w:t>成果形式</w:t>
            </w:r>
          </w:p>
        </w:tc>
        <w:tc>
          <w:tcPr>
            <w:tcW w:w="6864" w:type="dxa"/>
            <w:gridSpan w:val="10"/>
            <w:tcBorders>
              <w:top w:val="single" w:color="auto" w:sz="4" w:space="0"/>
              <w:left w:val="single" w:color="auto" w:sz="4" w:space="0"/>
              <w:bottom w:val="single" w:color="auto" w:sz="4" w:space="0"/>
              <w:right w:val="single" w:color="auto" w:sz="4" w:space="0"/>
            </w:tcBorders>
            <w:vAlign w:val="center"/>
          </w:tcPr>
          <w:p>
            <w:pPr>
              <w:rPr>
                <w:sz w:val="24"/>
                <w:szCs w:val="24"/>
              </w:rPr>
            </w:pPr>
            <w:r>
              <w:rPr>
                <w:sz w:val="24"/>
                <w:szCs w:val="24"/>
              </w:rPr>
              <w:t>A</w:t>
            </w:r>
            <w:r>
              <w:rPr>
                <w:rFonts w:hint="eastAsia"/>
                <w:sz w:val="24"/>
                <w:szCs w:val="24"/>
              </w:rPr>
              <w:t xml:space="preserve">．著作　    </w:t>
            </w:r>
            <w:r>
              <w:rPr>
                <w:sz w:val="24"/>
                <w:szCs w:val="24"/>
              </w:rPr>
              <w:fldChar w:fldCharType="begin"/>
            </w:r>
            <w:r>
              <w:rPr>
                <w:sz w:val="24"/>
                <w:szCs w:val="24"/>
              </w:rPr>
              <w:instrText xml:space="preserve"> </w:instrText>
            </w:r>
            <w:r>
              <w:rPr>
                <w:rFonts w:hint="eastAsia"/>
                <w:sz w:val="24"/>
                <w:szCs w:val="24"/>
              </w:rPr>
              <w:instrText xml:space="preserve">eq \o\ac(□,B)</w:instrText>
            </w:r>
            <w:r>
              <w:rPr>
                <w:sz w:val="24"/>
                <w:szCs w:val="24"/>
              </w:rPr>
              <w:fldChar w:fldCharType="end"/>
            </w:r>
            <w:r>
              <w:rPr>
                <w:sz w:val="24"/>
                <w:szCs w:val="24"/>
              </w:rPr>
              <w:t xml:space="preserve">. </w:t>
            </w:r>
            <w:r>
              <w:rPr>
                <w:rFonts w:hint="eastAsia"/>
                <w:sz w:val="24"/>
                <w:szCs w:val="24"/>
              </w:rPr>
              <w:t xml:space="preserve">论文　     </w:t>
            </w:r>
            <w:r>
              <w:rPr>
                <w:sz w:val="24"/>
                <w:szCs w:val="24"/>
              </w:rPr>
              <w:fldChar w:fldCharType="begin"/>
            </w:r>
            <w:r>
              <w:rPr>
                <w:sz w:val="24"/>
                <w:szCs w:val="24"/>
              </w:rPr>
              <w:instrText xml:space="preserve"> </w:instrText>
            </w:r>
            <w:r>
              <w:rPr>
                <w:rFonts w:hint="eastAsia"/>
                <w:sz w:val="24"/>
                <w:szCs w:val="24"/>
              </w:rPr>
              <w:instrText xml:space="preserve">eq \o\ac(□,C)</w:instrText>
            </w:r>
            <w:r>
              <w:rPr>
                <w:sz w:val="24"/>
                <w:szCs w:val="24"/>
              </w:rPr>
              <w:fldChar w:fldCharType="end"/>
            </w:r>
            <w:r>
              <w:rPr>
                <w:sz w:val="24"/>
                <w:szCs w:val="24"/>
              </w:rPr>
              <w:t>.</w:t>
            </w:r>
            <w:r>
              <w:rPr>
                <w:rFonts w:hint="eastAsia"/>
                <w:sz w:val="24"/>
                <w:szCs w:val="24"/>
              </w:rPr>
              <w:t>教材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7" w:hRule="atLeast"/>
          <w:jc w:val="center"/>
        </w:trPr>
        <w:tc>
          <w:tcPr>
            <w:tcW w:w="5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24"/>
                <w:szCs w:val="24"/>
              </w:rPr>
            </w:pPr>
          </w:p>
        </w:tc>
        <w:tc>
          <w:tcPr>
            <w:tcW w:w="1546" w:type="dxa"/>
            <w:gridSpan w:val="2"/>
            <w:tcBorders>
              <w:top w:val="single" w:color="auto" w:sz="4" w:space="0"/>
              <w:left w:val="single" w:color="auto" w:sz="4" w:space="0"/>
              <w:bottom w:val="single" w:color="auto" w:sz="4" w:space="0"/>
              <w:right w:val="single" w:color="auto" w:sz="4" w:space="0"/>
            </w:tcBorders>
            <w:vAlign w:val="center"/>
          </w:tcPr>
          <w:p>
            <w:pPr>
              <w:rPr>
                <w:sz w:val="24"/>
                <w:szCs w:val="24"/>
              </w:rPr>
            </w:pPr>
            <w:r>
              <w:rPr>
                <w:rFonts w:hint="eastAsia"/>
                <w:sz w:val="24"/>
                <w:szCs w:val="24"/>
              </w:rPr>
              <w:t>获奖情况</w:t>
            </w:r>
          </w:p>
        </w:tc>
        <w:tc>
          <w:tcPr>
            <w:tcW w:w="6864" w:type="dxa"/>
            <w:gridSpan w:val="10"/>
            <w:tcBorders>
              <w:top w:val="single" w:color="auto" w:sz="4" w:space="0"/>
              <w:left w:val="single" w:color="auto" w:sz="4" w:space="0"/>
              <w:bottom w:val="single" w:color="auto" w:sz="4" w:space="0"/>
              <w:right w:val="single" w:color="auto" w:sz="4" w:space="0"/>
            </w:tcBorders>
            <w:vAlign w:val="center"/>
          </w:tcPr>
          <w:p>
            <w:pPr>
              <w:rPr>
                <w:sz w:val="21"/>
                <w:szCs w:val="21"/>
              </w:rPr>
            </w:pPr>
            <w:r>
              <w:rPr>
                <w:rFonts w:hint="eastAsia"/>
                <w:sz w:val="21"/>
                <w:szCs w:val="21"/>
              </w:rPr>
              <w:t>2</w:t>
            </w:r>
            <w:r>
              <w:rPr>
                <w:sz w:val="21"/>
                <w:szCs w:val="21"/>
              </w:rPr>
              <w:t>017年</w:t>
            </w:r>
            <w:r>
              <w:rPr>
                <w:rFonts w:hint="eastAsia"/>
                <w:sz w:val="21"/>
                <w:szCs w:val="21"/>
              </w:rPr>
              <w:t>河南省科技进步一等奖；</w:t>
            </w:r>
          </w:p>
          <w:p>
            <w:pPr>
              <w:rPr>
                <w:sz w:val="21"/>
                <w:szCs w:val="21"/>
              </w:rPr>
            </w:pPr>
            <w:r>
              <w:rPr>
                <w:sz w:val="21"/>
                <w:szCs w:val="21"/>
              </w:rPr>
              <w:t>2020年河南省</w:t>
            </w:r>
            <w:r>
              <w:rPr>
                <w:rFonts w:hint="eastAsia"/>
                <w:sz w:val="21"/>
                <w:szCs w:val="21"/>
              </w:rPr>
              <w:t>高等教育教学成果二等奖；</w:t>
            </w:r>
          </w:p>
          <w:p>
            <w:pPr>
              <w:rPr>
                <w:sz w:val="21"/>
                <w:szCs w:val="21"/>
              </w:rPr>
            </w:pPr>
            <w:r>
              <w:rPr>
                <w:rFonts w:hint="eastAsia"/>
                <w:sz w:val="21"/>
                <w:szCs w:val="21"/>
              </w:rPr>
              <w:t>2</w:t>
            </w:r>
            <w:r>
              <w:rPr>
                <w:sz w:val="21"/>
                <w:szCs w:val="21"/>
              </w:rPr>
              <w:t>020</w:t>
            </w:r>
            <w:r>
              <w:rPr>
                <w:rFonts w:hint="eastAsia"/>
                <w:sz w:val="21"/>
                <w:szCs w:val="21"/>
              </w:rPr>
              <w:t>年</w:t>
            </w:r>
            <w:r>
              <w:rPr>
                <w:sz w:val="21"/>
                <w:szCs w:val="21"/>
              </w:rPr>
              <w:t>河南省教育厅科技成果</w:t>
            </w:r>
            <w:r>
              <w:rPr>
                <w:rFonts w:hint="eastAsia"/>
                <w:sz w:val="21"/>
                <w:szCs w:val="21"/>
              </w:rPr>
              <w:t>一</w:t>
            </w:r>
            <w:r>
              <w:rPr>
                <w:sz w:val="21"/>
                <w:szCs w:val="21"/>
              </w:rPr>
              <w:t>等奖</w:t>
            </w:r>
            <w:r>
              <w:rPr>
                <w:rFonts w:hint="eastAsia"/>
                <w:sz w:val="21"/>
                <w:szCs w:val="21"/>
              </w:rPr>
              <w:t>；</w:t>
            </w:r>
          </w:p>
          <w:p>
            <w:pPr>
              <w:rPr>
                <w:sz w:val="21"/>
                <w:szCs w:val="21"/>
              </w:rPr>
            </w:pPr>
            <w:r>
              <w:rPr>
                <w:rFonts w:hint="eastAsia"/>
                <w:sz w:val="21"/>
                <w:szCs w:val="21"/>
              </w:rPr>
              <w:t>2</w:t>
            </w:r>
            <w:r>
              <w:rPr>
                <w:sz w:val="21"/>
                <w:szCs w:val="21"/>
              </w:rPr>
              <w:t>020</w:t>
            </w:r>
            <w:r>
              <w:rPr>
                <w:rFonts w:hint="eastAsia"/>
                <w:sz w:val="21"/>
                <w:szCs w:val="21"/>
              </w:rPr>
              <w:t>年中国可再生能源学会科技进步三等奖；</w:t>
            </w:r>
          </w:p>
          <w:p>
            <w:pPr>
              <w:rPr>
                <w:sz w:val="21"/>
                <w:szCs w:val="21"/>
              </w:rPr>
            </w:pPr>
            <w:r>
              <w:rPr>
                <w:rFonts w:hint="eastAsia"/>
                <w:sz w:val="21"/>
                <w:szCs w:val="21"/>
              </w:rPr>
              <w:t>2</w:t>
            </w:r>
            <w:r>
              <w:rPr>
                <w:sz w:val="21"/>
                <w:szCs w:val="21"/>
              </w:rPr>
              <w:t>018</w:t>
            </w:r>
            <w:r>
              <w:rPr>
                <w:rFonts w:hint="eastAsia"/>
                <w:sz w:val="21"/>
                <w:szCs w:val="21"/>
              </w:rPr>
              <w:t>年杭能杯中国沼气学会征文大赛二等奖；</w:t>
            </w:r>
          </w:p>
          <w:p>
            <w:pPr>
              <w:rPr>
                <w:sz w:val="21"/>
                <w:szCs w:val="21"/>
              </w:rPr>
            </w:pPr>
            <w:r>
              <w:rPr>
                <w:rFonts w:hint="eastAsia"/>
                <w:sz w:val="21"/>
                <w:szCs w:val="21"/>
              </w:rPr>
              <w:t>2</w:t>
            </w:r>
            <w:r>
              <w:rPr>
                <w:sz w:val="21"/>
                <w:szCs w:val="21"/>
              </w:rPr>
              <w:t>020</w:t>
            </w:r>
            <w:r>
              <w:rPr>
                <w:rFonts w:hint="eastAsia"/>
                <w:sz w:val="21"/>
                <w:szCs w:val="21"/>
              </w:rPr>
              <w:t>年</w:t>
            </w:r>
            <w:r>
              <w:rPr>
                <w:sz w:val="21"/>
                <w:szCs w:val="21"/>
              </w:rPr>
              <w:t>校级教学成果一等奖。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8" w:hRule="atLeast"/>
          <w:jc w:val="center"/>
        </w:trPr>
        <w:tc>
          <w:tcPr>
            <w:tcW w:w="560" w:type="dxa"/>
            <w:vMerge w:val="restart"/>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主要参加人</w:t>
            </w:r>
          </w:p>
        </w:tc>
        <w:tc>
          <w:tcPr>
            <w:tcW w:w="1546" w:type="dxa"/>
            <w:gridSpan w:val="2"/>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姓名</w:t>
            </w:r>
          </w:p>
        </w:tc>
        <w:tc>
          <w:tcPr>
            <w:tcW w:w="2689" w:type="dxa"/>
            <w:gridSpan w:val="5"/>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单位</w:t>
            </w:r>
          </w:p>
        </w:tc>
        <w:tc>
          <w:tcPr>
            <w:tcW w:w="1847" w:type="dxa"/>
            <w:gridSpan w:val="3"/>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职称</w:t>
            </w:r>
          </w:p>
        </w:tc>
        <w:tc>
          <w:tcPr>
            <w:tcW w:w="2328" w:type="dxa"/>
            <w:gridSpan w:val="2"/>
            <w:tcBorders>
              <w:top w:val="single" w:color="auto" w:sz="4" w:space="0"/>
              <w:left w:val="single" w:color="auto" w:sz="4" w:space="0"/>
              <w:bottom w:val="single" w:color="auto" w:sz="4" w:space="0"/>
              <w:right w:val="single" w:color="auto" w:sz="4" w:space="0"/>
            </w:tcBorders>
            <w:vAlign w:val="center"/>
          </w:tcPr>
          <w:p>
            <w:pPr>
              <w:jc w:val="center"/>
              <w:rPr>
                <w:sz w:val="24"/>
                <w:szCs w:val="24"/>
              </w:rPr>
            </w:pPr>
            <w:r>
              <w:rPr>
                <w:rFonts w:hint="eastAsia"/>
                <w:sz w:val="24"/>
                <w:szCs w:val="24"/>
              </w:rPr>
              <w:t>承担任务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8" w:hRule="atLeast"/>
          <w:jc w:val="center"/>
        </w:trPr>
        <w:tc>
          <w:tcPr>
            <w:tcW w:w="5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24"/>
                <w:szCs w:val="24"/>
              </w:rPr>
            </w:pPr>
          </w:p>
        </w:tc>
        <w:tc>
          <w:tcPr>
            <w:tcW w:w="154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24"/>
                <w:szCs w:val="24"/>
              </w:rPr>
            </w:pPr>
            <w:r>
              <w:rPr>
                <w:rFonts w:hint="eastAsia" w:ascii="仿宋" w:hAnsi="仿宋" w:eastAsia="仿宋"/>
                <w:sz w:val="21"/>
                <w:szCs w:val="21"/>
              </w:rPr>
              <w:t>张全国</w:t>
            </w:r>
          </w:p>
        </w:tc>
        <w:tc>
          <w:tcPr>
            <w:tcW w:w="2689" w:type="dxa"/>
            <w:gridSpan w:val="5"/>
            <w:tcBorders>
              <w:top w:val="single" w:color="auto" w:sz="4" w:space="0"/>
              <w:left w:val="single" w:color="auto" w:sz="4" w:space="0"/>
              <w:bottom w:val="single" w:color="auto" w:sz="4" w:space="0"/>
              <w:right w:val="single" w:color="auto" w:sz="4" w:space="0"/>
            </w:tcBorders>
            <w:vAlign w:val="center"/>
          </w:tcPr>
          <w:p>
            <w:pPr>
              <w:rPr>
                <w:sz w:val="24"/>
                <w:szCs w:val="24"/>
              </w:rPr>
            </w:pPr>
            <w:r>
              <w:rPr>
                <w:sz w:val="21"/>
                <w:szCs w:val="21"/>
              </w:rPr>
              <w:t>河南农业大学</w:t>
            </w:r>
          </w:p>
        </w:tc>
        <w:tc>
          <w:tcPr>
            <w:tcW w:w="1847" w:type="dxa"/>
            <w:gridSpan w:val="3"/>
            <w:tcBorders>
              <w:top w:val="single" w:color="auto" w:sz="4" w:space="0"/>
              <w:left w:val="single" w:color="auto" w:sz="4" w:space="0"/>
              <w:bottom w:val="single" w:color="auto" w:sz="4" w:space="0"/>
              <w:right w:val="single" w:color="auto" w:sz="4" w:space="0"/>
            </w:tcBorders>
            <w:vAlign w:val="center"/>
          </w:tcPr>
          <w:p>
            <w:pPr>
              <w:rPr>
                <w:sz w:val="24"/>
                <w:szCs w:val="24"/>
              </w:rPr>
            </w:pPr>
            <w:r>
              <w:rPr>
                <w:sz w:val="21"/>
                <w:szCs w:val="21"/>
              </w:rPr>
              <w:t>教授</w:t>
            </w:r>
          </w:p>
        </w:tc>
        <w:tc>
          <w:tcPr>
            <w:tcW w:w="2328" w:type="dxa"/>
            <w:gridSpan w:val="2"/>
            <w:tcBorders>
              <w:top w:val="single" w:color="auto" w:sz="4" w:space="0"/>
              <w:left w:val="single" w:color="auto" w:sz="4" w:space="0"/>
              <w:bottom w:val="single" w:color="auto" w:sz="4" w:space="0"/>
              <w:right w:val="single" w:color="auto" w:sz="4" w:space="0"/>
            </w:tcBorders>
            <w:vAlign w:val="center"/>
          </w:tcPr>
          <w:p>
            <w:pPr>
              <w:rPr>
                <w:sz w:val="21"/>
                <w:szCs w:val="21"/>
              </w:rPr>
            </w:pPr>
            <w:r>
              <w:rPr>
                <w:rFonts w:hint="eastAsia"/>
                <w:sz w:val="21"/>
                <w:szCs w:val="21"/>
              </w:rPr>
              <w:t>秸秆微观特征及多尺度效应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8" w:hRule="atLeast"/>
          <w:jc w:val="center"/>
        </w:trPr>
        <w:tc>
          <w:tcPr>
            <w:tcW w:w="5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24"/>
                <w:szCs w:val="24"/>
              </w:rPr>
            </w:pPr>
          </w:p>
        </w:tc>
        <w:tc>
          <w:tcPr>
            <w:tcW w:w="154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24"/>
                <w:szCs w:val="24"/>
              </w:rPr>
            </w:pPr>
            <w:r>
              <w:rPr>
                <w:rFonts w:hint="eastAsia" w:ascii="仿宋" w:hAnsi="仿宋" w:eastAsia="仿宋"/>
                <w:sz w:val="21"/>
                <w:szCs w:val="21"/>
              </w:rPr>
              <w:t>胡建军</w:t>
            </w:r>
          </w:p>
        </w:tc>
        <w:tc>
          <w:tcPr>
            <w:tcW w:w="2689" w:type="dxa"/>
            <w:gridSpan w:val="5"/>
            <w:tcBorders>
              <w:top w:val="single" w:color="auto" w:sz="4" w:space="0"/>
              <w:left w:val="single" w:color="auto" w:sz="4" w:space="0"/>
              <w:bottom w:val="single" w:color="auto" w:sz="4" w:space="0"/>
              <w:right w:val="single" w:color="auto" w:sz="4" w:space="0"/>
            </w:tcBorders>
            <w:vAlign w:val="center"/>
          </w:tcPr>
          <w:p>
            <w:pPr>
              <w:rPr>
                <w:sz w:val="24"/>
                <w:szCs w:val="24"/>
              </w:rPr>
            </w:pPr>
            <w:r>
              <w:rPr>
                <w:sz w:val="21"/>
                <w:szCs w:val="21"/>
              </w:rPr>
              <w:t>河南农业大学</w:t>
            </w:r>
          </w:p>
        </w:tc>
        <w:tc>
          <w:tcPr>
            <w:tcW w:w="1847" w:type="dxa"/>
            <w:gridSpan w:val="3"/>
            <w:tcBorders>
              <w:top w:val="single" w:color="auto" w:sz="4" w:space="0"/>
              <w:left w:val="single" w:color="auto" w:sz="4" w:space="0"/>
              <w:bottom w:val="single" w:color="auto" w:sz="4" w:space="0"/>
              <w:right w:val="single" w:color="auto" w:sz="4" w:space="0"/>
            </w:tcBorders>
            <w:vAlign w:val="center"/>
          </w:tcPr>
          <w:p>
            <w:pPr>
              <w:rPr>
                <w:sz w:val="24"/>
                <w:szCs w:val="24"/>
              </w:rPr>
            </w:pPr>
            <w:r>
              <w:rPr>
                <w:sz w:val="21"/>
                <w:szCs w:val="21"/>
              </w:rPr>
              <w:t>教授</w:t>
            </w:r>
          </w:p>
        </w:tc>
        <w:tc>
          <w:tcPr>
            <w:tcW w:w="2328" w:type="dxa"/>
            <w:gridSpan w:val="2"/>
            <w:tcBorders>
              <w:top w:val="single" w:color="auto" w:sz="4" w:space="0"/>
              <w:left w:val="single" w:color="auto" w:sz="4" w:space="0"/>
              <w:bottom w:val="single" w:color="auto" w:sz="4" w:space="0"/>
              <w:right w:val="single" w:color="auto" w:sz="4" w:space="0"/>
            </w:tcBorders>
            <w:vAlign w:val="center"/>
          </w:tcPr>
          <w:p>
            <w:pPr>
              <w:rPr>
                <w:sz w:val="21"/>
                <w:szCs w:val="21"/>
              </w:rPr>
            </w:pPr>
            <w:r>
              <w:rPr>
                <w:rFonts w:hint="eastAsia"/>
                <w:sz w:val="21"/>
                <w:szCs w:val="21"/>
              </w:rPr>
              <w:t>底物传输规律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8" w:hRule="atLeast"/>
          <w:jc w:val="center"/>
        </w:trPr>
        <w:tc>
          <w:tcPr>
            <w:tcW w:w="5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24"/>
                <w:szCs w:val="24"/>
              </w:rPr>
            </w:pPr>
          </w:p>
        </w:tc>
        <w:tc>
          <w:tcPr>
            <w:tcW w:w="154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24"/>
                <w:szCs w:val="24"/>
              </w:rPr>
            </w:pPr>
            <w:r>
              <w:rPr>
                <w:rFonts w:hint="eastAsia" w:ascii="仿宋" w:hAnsi="仿宋" w:eastAsia="仿宋"/>
                <w:sz w:val="21"/>
                <w:szCs w:val="21"/>
              </w:rPr>
              <w:t>张志萍</w:t>
            </w:r>
          </w:p>
        </w:tc>
        <w:tc>
          <w:tcPr>
            <w:tcW w:w="2689" w:type="dxa"/>
            <w:gridSpan w:val="5"/>
            <w:tcBorders>
              <w:top w:val="single" w:color="auto" w:sz="4" w:space="0"/>
              <w:left w:val="single" w:color="auto" w:sz="4" w:space="0"/>
              <w:bottom w:val="single" w:color="auto" w:sz="4" w:space="0"/>
              <w:right w:val="single" w:color="auto" w:sz="4" w:space="0"/>
            </w:tcBorders>
            <w:vAlign w:val="center"/>
          </w:tcPr>
          <w:p>
            <w:pPr>
              <w:rPr>
                <w:sz w:val="24"/>
                <w:szCs w:val="24"/>
              </w:rPr>
            </w:pPr>
            <w:r>
              <w:rPr>
                <w:sz w:val="21"/>
                <w:szCs w:val="21"/>
              </w:rPr>
              <w:t>河南农业大学</w:t>
            </w:r>
          </w:p>
        </w:tc>
        <w:tc>
          <w:tcPr>
            <w:tcW w:w="1847" w:type="dxa"/>
            <w:gridSpan w:val="3"/>
            <w:tcBorders>
              <w:top w:val="single" w:color="auto" w:sz="4" w:space="0"/>
              <w:left w:val="single" w:color="auto" w:sz="4" w:space="0"/>
              <w:bottom w:val="single" w:color="auto" w:sz="4" w:space="0"/>
              <w:right w:val="single" w:color="auto" w:sz="4" w:space="0"/>
            </w:tcBorders>
            <w:vAlign w:val="center"/>
          </w:tcPr>
          <w:p>
            <w:pPr>
              <w:rPr>
                <w:sz w:val="24"/>
                <w:szCs w:val="24"/>
              </w:rPr>
            </w:pPr>
            <w:r>
              <w:rPr>
                <w:sz w:val="21"/>
                <w:szCs w:val="21"/>
              </w:rPr>
              <w:t>副教授</w:t>
            </w:r>
          </w:p>
        </w:tc>
        <w:tc>
          <w:tcPr>
            <w:tcW w:w="2328" w:type="dxa"/>
            <w:gridSpan w:val="2"/>
            <w:tcBorders>
              <w:top w:val="single" w:color="auto" w:sz="4" w:space="0"/>
              <w:left w:val="single" w:color="auto" w:sz="4" w:space="0"/>
              <w:bottom w:val="single" w:color="auto" w:sz="4" w:space="0"/>
              <w:right w:val="single" w:color="auto" w:sz="4" w:space="0"/>
            </w:tcBorders>
            <w:vAlign w:val="center"/>
          </w:tcPr>
          <w:p>
            <w:pPr>
              <w:rPr>
                <w:sz w:val="21"/>
                <w:szCs w:val="21"/>
              </w:rPr>
            </w:pPr>
            <w:r>
              <w:rPr>
                <w:rFonts w:hint="eastAsia"/>
                <w:sz w:val="21"/>
                <w:szCs w:val="21"/>
              </w:rPr>
              <w:t>流变分布及反应器受力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8" w:hRule="atLeast"/>
          <w:jc w:val="center"/>
        </w:trPr>
        <w:tc>
          <w:tcPr>
            <w:tcW w:w="5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24"/>
                <w:szCs w:val="24"/>
              </w:rPr>
            </w:pPr>
          </w:p>
        </w:tc>
        <w:tc>
          <w:tcPr>
            <w:tcW w:w="1546"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仿宋" w:hAnsi="仿宋" w:eastAsia="仿宋"/>
                <w:sz w:val="24"/>
                <w:szCs w:val="24"/>
              </w:rPr>
            </w:pPr>
            <w:r>
              <w:rPr>
                <w:rFonts w:hint="eastAsia" w:ascii="仿宋" w:hAnsi="仿宋" w:eastAsia="仿宋"/>
                <w:sz w:val="21"/>
                <w:szCs w:val="21"/>
              </w:rPr>
              <w:t xml:space="preserve">贺 </w:t>
            </w:r>
            <w:r>
              <w:rPr>
                <w:rFonts w:ascii="仿宋" w:hAnsi="仿宋" w:eastAsia="仿宋"/>
                <w:sz w:val="21"/>
                <w:szCs w:val="21"/>
              </w:rPr>
              <w:t xml:space="preserve"> </w:t>
            </w:r>
            <w:r>
              <w:rPr>
                <w:rFonts w:hint="eastAsia" w:ascii="仿宋" w:hAnsi="仿宋" w:eastAsia="仿宋"/>
                <w:sz w:val="21"/>
                <w:szCs w:val="21"/>
              </w:rPr>
              <w:t>超</w:t>
            </w:r>
          </w:p>
        </w:tc>
        <w:tc>
          <w:tcPr>
            <w:tcW w:w="2689" w:type="dxa"/>
            <w:gridSpan w:val="5"/>
            <w:tcBorders>
              <w:top w:val="single" w:color="auto" w:sz="4" w:space="0"/>
              <w:left w:val="single" w:color="auto" w:sz="4" w:space="0"/>
              <w:bottom w:val="single" w:color="auto" w:sz="4" w:space="0"/>
              <w:right w:val="single" w:color="auto" w:sz="4" w:space="0"/>
            </w:tcBorders>
            <w:vAlign w:val="center"/>
          </w:tcPr>
          <w:p>
            <w:pPr>
              <w:rPr>
                <w:sz w:val="24"/>
                <w:szCs w:val="24"/>
              </w:rPr>
            </w:pPr>
            <w:r>
              <w:rPr>
                <w:sz w:val="21"/>
                <w:szCs w:val="21"/>
              </w:rPr>
              <w:t>河南农业大学</w:t>
            </w:r>
          </w:p>
        </w:tc>
        <w:tc>
          <w:tcPr>
            <w:tcW w:w="1847" w:type="dxa"/>
            <w:gridSpan w:val="3"/>
            <w:tcBorders>
              <w:top w:val="single" w:color="auto" w:sz="4" w:space="0"/>
              <w:left w:val="single" w:color="auto" w:sz="4" w:space="0"/>
              <w:bottom w:val="single" w:color="auto" w:sz="4" w:space="0"/>
              <w:right w:val="single" w:color="auto" w:sz="4" w:space="0"/>
            </w:tcBorders>
            <w:vAlign w:val="center"/>
          </w:tcPr>
          <w:p>
            <w:pPr>
              <w:rPr>
                <w:sz w:val="24"/>
                <w:szCs w:val="24"/>
              </w:rPr>
            </w:pPr>
            <w:r>
              <w:rPr>
                <w:sz w:val="21"/>
                <w:szCs w:val="21"/>
              </w:rPr>
              <w:t>副教授</w:t>
            </w:r>
          </w:p>
        </w:tc>
        <w:tc>
          <w:tcPr>
            <w:tcW w:w="2328" w:type="dxa"/>
            <w:gridSpan w:val="2"/>
            <w:tcBorders>
              <w:top w:val="single" w:color="auto" w:sz="4" w:space="0"/>
              <w:left w:val="single" w:color="auto" w:sz="4" w:space="0"/>
              <w:bottom w:val="single" w:color="auto" w:sz="4" w:space="0"/>
              <w:right w:val="single" w:color="auto" w:sz="4" w:space="0"/>
            </w:tcBorders>
            <w:vAlign w:val="center"/>
          </w:tcPr>
          <w:p>
            <w:pPr>
              <w:rPr>
                <w:sz w:val="21"/>
                <w:szCs w:val="21"/>
              </w:rPr>
            </w:pPr>
            <w:r>
              <w:rPr>
                <w:rFonts w:hint="eastAsia"/>
                <w:sz w:val="21"/>
                <w:szCs w:val="21"/>
              </w:rPr>
              <w:t>底物对传质影响及最优传递工艺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8" w:hRule="atLeast"/>
          <w:jc w:val="center"/>
        </w:trPr>
        <w:tc>
          <w:tcPr>
            <w:tcW w:w="5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sz w:val="24"/>
                <w:szCs w:val="24"/>
              </w:rPr>
            </w:pPr>
          </w:p>
        </w:tc>
        <w:tc>
          <w:tcPr>
            <w:tcW w:w="1546" w:type="dxa"/>
            <w:gridSpan w:val="2"/>
            <w:tcBorders>
              <w:top w:val="single" w:color="auto" w:sz="4" w:space="0"/>
              <w:left w:val="single" w:color="auto" w:sz="4" w:space="0"/>
              <w:bottom w:val="single" w:color="auto" w:sz="4" w:space="0"/>
              <w:right w:val="single" w:color="auto" w:sz="4" w:space="0"/>
            </w:tcBorders>
            <w:vAlign w:val="center"/>
          </w:tcPr>
          <w:p>
            <w:pPr>
              <w:rPr>
                <w:sz w:val="24"/>
                <w:szCs w:val="24"/>
              </w:rPr>
            </w:pPr>
          </w:p>
        </w:tc>
        <w:tc>
          <w:tcPr>
            <w:tcW w:w="2689" w:type="dxa"/>
            <w:gridSpan w:val="5"/>
            <w:tcBorders>
              <w:top w:val="single" w:color="auto" w:sz="4" w:space="0"/>
              <w:left w:val="single" w:color="auto" w:sz="4" w:space="0"/>
              <w:bottom w:val="single" w:color="auto" w:sz="4" w:space="0"/>
              <w:right w:val="single" w:color="auto" w:sz="4" w:space="0"/>
            </w:tcBorders>
            <w:vAlign w:val="center"/>
          </w:tcPr>
          <w:p>
            <w:pPr>
              <w:rPr>
                <w:sz w:val="24"/>
                <w:szCs w:val="24"/>
              </w:rPr>
            </w:pPr>
          </w:p>
        </w:tc>
        <w:tc>
          <w:tcPr>
            <w:tcW w:w="1847" w:type="dxa"/>
            <w:gridSpan w:val="3"/>
            <w:tcBorders>
              <w:top w:val="single" w:color="auto" w:sz="4" w:space="0"/>
              <w:left w:val="single" w:color="auto" w:sz="4" w:space="0"/>
              <w:bottom w:val="single" w:color="auto" w:sz="4" w:space="0"/>
              <w:right w:val="single" w:color="auto" w:sz="4" w:space="0"/>
            </w:tcBorders>
            <w:vAlign w:val="center"/>
          </w:tcPr>
          <w:p>
            <w:pPr>
              <w:rPr>
                <w:sz w:val="24"/>
                <w:szCs w:val="24"/>
              </w:rPr>
            </w:pPr>
          </w:p>
        </w:tc>
        <w:tc>
          <w:tcPr>
            <w:tcW w:w="2328" w:type="dxa"/>
            <w:gridSpan w:val="2"/>
            <w:tcBorders>
              <w:top w:val="single" w:color="auto" w:sz="4" w:space="0"/>
              <w:left w:val="single" w:color="auto" w:sz="4" w:space="0"/>
              <w:bottom w:val="single" w:color="auto" w:sz="4" w:space="0"/>
              <w:right w:val="single" w:color="auto" w:sz="4" w:space="0"/>
            </w:tcBorders>
            <w:vAlign w:val="center"/>
          </w:tcPr>
          <w:p>
            <w:pPr>
              <w:rPr>
                <w:sz w:val="24"/>
                <w:szCs w:val="24"/>
              </w:rPr>
            </w:pPr>
          </w:p>
        </w:tc>
      </w:tr>
    </w:tbl>
    <w:p/>
    <w:p>
      <w:pPr>
        <w:rPr>
          <w:rFonts w:ascii="黑体" w:eastAsia="黑体"/>
          <w:szCs w:val="20"/>
        </w:rPr>
      </w:pPr>
      <w:r>
        <w:br w:type="page"/>
      </w:r>
      <w:r>
        <w:rPr>
          <w:rFonts w:hint="eastAsia" w:ascii="黑体" w:eastAsia="黑体"/>
        </w:rPr>
        <w:t>二、总结报告</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78" w:hRule="atLeast"/>
          <w:jc w:val="center"/>
        </w:trPr>
        <w:tc>
          <w:tcPr>
            <w:tcW w:w="8829" w:type="dxa"/>
            <w:tcBorders>
              <w:top w:val="single" w:color="auto" w:sz="4" w:space="0"/>
              <w:left w:val="single" w:color="auto" w:sz="4" w:space="0"/>
              <w:bottom w:val="single" w:color="auto" w:sz="4" w:space="0"/>
              <w:right w:val="single" w:color="auto" w:sz="4" w:space="0"/>
            </w:tcBorders>
          </w:tcPr>
          <w:p>
            <w:pPr>
              <w:snapToGrid w:val="0"/>
              <w:jc w:val="left"/>
              <w:rPr>
                <w:rFonts w:ascii="仿宋_GB2312" w:hAnsi="仿宋"/>
                <w:bCs/>
                <w:sz w:val="21"/>
                <w:szCs w:val="21"/>
              </w:rPr>
            </w:pPr>
            <w:r>
              <w:rPr>
                <w:rFonts w:hint="eastAsia" w:ascii="仿宋_GB2312" w:hAnsi="仿宋"/>
                <w:bCs/>
                <w:sz w:val="21"/>
                <w:szCs w:val="21"/>
              </w:rPr>
              <w:t>主要内容：项目预期计划执行情况；成果内容、特色及创新点，主要学术价值和应用价值；在教学水平、科研能力、团队建设、社会服务等方面的完成情况；不足之处及努力方向。</w:t>
            </w:r>
          </w:p>
          <w:p>
            <w:pPr>
              <w:spacing w:before="156" w:beforeLines="50" w:after="156" w:afterLines="50"/>
              <w:rPr>
                <w:b/>
                <w:sz w:val="24"/>
                <w:szCs w:val="24"/>
              </w:rPr>
            </w:pPr>
            <w:r>
              <w:rPr>
                <w:b/>
                <w:sz w:val="24"/>
                <w:szCs w:val="24"/>
              </w:rPr>
              <w:t>2.1项目预期计划执行情况</w:t>
            </w:r>
          </w:p>
          <w:p>
            <w:pPr>
              <w:spacing w:line="360" w:lineRule="auto"/>
              <w:ind w:firstLine="480"/>
              <w:rPr>
                <w:rFonts w:hAnsi="宋体"/>
                <w:sz w:val="24"/>
              </w:rPr>
            </w:pPr>
            <w:r>
              <w:rPr>
                <w:rFonts w:hAnsi="宋体"/>
                <w:sz w:val="24"/>
              </w:rPr>
              <w:t>本项目按照预期研究计划进行，以超微粉碎的生物质秸秆粉为研究对象</w:t>
            </w:r>
            <w:r>
              <w:rPr>
                <w:rFonts w:hint="eastAsia" w:hAnsi="宋体"/>
                <w:sz w:val="24"/>
              </w:rPr>
              <w:t>，</w:t>
            </w:r>
            <w:r>
              <w:rPr>
                <w:rFonts w:hAnsi="宋体"/>
                <w:sz w:val="24"/>
              </w:rPr>
              <w:t>完成了</w:t>
            </w:r>
            <w:r>
              <w:rPr>
                <w:rFonts w:hint="eastAsia" w:hAnsi="宋体"/>
                <w:sz w:val="24"/>
              </w:rPr>
              <w:t>光合生物制氢体系秸秆粉的微观结构和多尺度效应研究，探索了秸秆粉结构特征对光合产氢传质的影响，研究了生物质秸秆粉光合产氢底物传输规律，揭示产氢过程从生物质秸秆到可利用还原糖，再至细菌利用底物生长、有机酸形成和氢能产出的传质转化规律，并获得流场分布对传质效果的影响。项目执行期内承担主要教学科研项目1</w:t>
            </w:r>
            <w:r>
              <w:rPr>
                <w:rFonts w:hAnsi="宋体"/>
                <w:sz w:val="24"/>
              </w:rPr>
              <w:t>4</w:t>
            </w:r>
            <w:r>
              <w:rPr>
                <w:rFonts w:hint="eastAsia" w:hAnsi="宋体"/>
                <w:sz w:val="24"/>
              </w:rPr>
              <w:t>项，获各类奖励9项，授权专利和软件著作权7项，通过成果评价3项，发表</w:t>
            </w:r>
            <w:r>
              <w:rPr>
                <w:rFonts w:hAnsi="宋体"/>
                <w:sz w:val="24"/>
              </w:rPr>
              <w:t>标注项目资助</w:t>
            </w:r>
            <w:r>
              <w:rPr>
                <w:rFonts w:hint="eastAsia" w:hAnsi="宋体"/>
                <w:sz w:val="24"/>
              </w:rPr>
              <w:t>论文13篇，副主编教材</w:t>
            </w:r>
            <w:r>
              <w:rPr>
                <w:rFonts w:hAnsi="宋体"/>
                <w:sz w:val="24"/>
              </w:rPr>
              <w:t>1</w:t>
            </w:r>
            <w:r>
              <w:rPr>
                <w:rFonts w:hint="eastAsia" w:hAnsi="宋体"/>
                <w:sz w:val="24"/>
              </w:rPr>
              <w:t>部。</w:t>
            </w:r>
          </w:p>
          <w:p>
            <w:pPr>
              <w:spacing w:before="156" w:beforeLines="50" w:after="156" w:afterLines="50"/>
              <w:rPr>
                <w:b/>
                <w:sz w:val="24"/>
                <w:szCs w:val="24"/>
              </w:rPr>
            </w:pPr>
            <w:r>
              <w:rPr>
                <w:b/>
                <w:sz w:val="24"/>
                <w:szCs w:val="24"/>
              </w:rPr>
              <w:t>2.2成果内容、特色及创新点，主要学术价值和应用价值</w:t>
            </w:r>
          </w:p>
          <w:p>
            <w:pPr>
              <w:spacing w:line="360" w:lineRule="auto"/>
              <w:rPr>
                <w:sz w:val="24"/>
                <w:szCs w:val="24"/>
              </w:rPr>
            </w:pPr>
            <w:r>
              <w:rPr>
                <w:sz w:val="24"/>
                <w:szCs w:val="24"/>
              </w:rPr>
              <w:t>2.2.1成果内容</w:t>
            </w:r>
          </w:p>
          <w:p>
            <w:pPr>
              <w:spacing w:line="360" w:lineRule="auto"/>
              <w:ind w:firstLine="480"/>
              <w:rPr>
                <w:rFonts w:hAnsi="宋体"/>
                <w:sz w:val="24"/>
              </w:rPr>
            </w:pPr>
            <w:r>
              <w:rPr>
                <w:rFonts w:hAnsi="宋体"/>
                <w:sz w:val="24"/>
              </w:rPr>
              <w:t>本项目</w:t>
            </w:r>
            <w:r>
              <w:rPr>
                <w:rFonts w:hint="eastAsia" w:hAnsi="宋体"/>
                <w:sz w:val="24"/>
              </w:rPr>
              <w:t>利用超微预处理技术和多相流理论，</w:t>
            </w:r>
            <w:r>
              <w:rPr>
                <w:rFonts w:hAnsi="宋体"/>
                <w:sz w:val="24"/>
              </w:rPr>
              <w:t>采用</w:t>
            </w:r>
            <w:r>
              <w:rPr>
                <w:rFonts w:hint="eastAsia" w:hAnsi="宋体"/>
                <w:sz w:val="24"/>
              </w:rPr>
              <w:t>数值模拟和实验研究相结合的方式</w:t>
            </w:r>
            <w:r>
              <w:rPr>
                <w:rFonts w:hAnsi="宋体"/>
                <w:sz w:val="24"/>
              </w:rPr>
              <w:t>，研究了</w:t>
            </w:r>
            <w:r>
              <w:rPr>
                <w:rFonts w:hint="eastAsia" w:hAnsi="宋体"/>
                <w:sz w:val="24"/>
              </w:rPr>
              <w:t>以超微粉碎生物质秸秆粉为原料的光合生物制氢体系传质特性</w:t>
            </w:r>
            <w:r>
              <w:rPr>
                <w:rFonts w:hAnsi="宋体"/>
                <w:sz w:val="24"/>
              </w:rPr>
              <w:t>，具体成果内容如下</w:t>
            </w:r>
            <w:r>
              <w:rPr>
                <w:rFonts w:hint="eastAsia" w:hAnsi="宋体"/>
                <w:sz w:val="24"/>
              </w:rPr>
              <w:t>：</w:t>
            </w:r>
          </w:p>
          <w:p>
            <w:pPr>
              <w:spacing w:line="360" w:lineRule="auto"/>
              <w:ind w:firstLine="480"/>
              <w:rPr>
                <w:rFonts w:hAnsi="宋体"/>
                <w:sz w:val="24"/>
              </w:rPr>
            </w:pPr>
            <w:r>
              <w:rPr>
                <w:rFonts w:hint="eastAsia" w:hAnsi="宋体"/>
                <w:sz w:val="24"/>
              </w:rPr>
              <w:t>（1）</w:t>
            </w:r>
            <w:r>
              <w:rPr>
                <w:rFonts w:hint="eastAsia"/>
                <w:sz w:val="24"/>
              </w:rPr>
              <w:t>生物质秸秆粉的微观结构和多尺度效应</w:t>
            </w:r>
          </w:p>
          <w:p>
            <w:pPr>
              <w:spacing w:line="360" w:lineRule="auto"/>
              <w:ind w:firstLine="480" w:firstLineChars="200"/>
              <w:rPr>
                <w:rFonts w:hAnsi="宋体"/>
                <w:sz w:val="24"/>
              </w:rPr>
            </w:pPr>
            <w:r>
              <w:rPr>
                <w:rFonts w:hint="eastAsia" w:hAnsi="宋体"/>
                <w:sz w:val="24"/>
              </w:rPr>
              <w:t>开展了不同类型秸秆粉三素含量、孔隙率、粒径分布、SEM电镜、能谱分析、元素分析、热重分析和傅里叶红外光谱分析等微观特征和多尺度效应研究。</w:t>
            </w:r>
          </w:p>
          <w:p>
            <w:pPr>
              <w:jc w:val="center"/>
              <w:rPr>
                <w:sz w:val="21"/>
              </w:rPr>
            </w:pPr>
            <w:r>
              <w:rPr>
                <w:rFonts w:hint="eastAsia"/>
              </w:rPr>
              <w:drawing>
                <wp:inline distT="0" distB="0" distL="0" distR="0">
                  <wp:extent cx="2475230" cy="1677035"/>
                  <wp:effectExtent l="19050" t="0" r="838"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2479624" cy="1680182"/>
                          </a:xfrm>
                          <a:prstGeom prst="rect">
                            <a:avLst/>
                          </a:prstGeom>
                          <a:noFill/>
                          <a:ln>
                            <a:noFill/>
                          </a:ln>
                        </pic:spPr>
                      </pic:pic>
                    </a:graphicData>
                  </a:graphic>
                </wp:inline>
              </w:drawing>
            </w:r>
            <w:r>
              <w:rPr>
                <w:rFonts w:hint="eastAsia"/>
              </w:rPr>
              <w:drawing>
                <wp:inline distT="0" distB="0" distL="0" distR="0">
                  <wp:extent cx="2266950" cy="1733550"/>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2265170" cy="1732189"/>
                          </a:xfrm>
                          <a:prstGeom prst="rect">
                            <a:avLst/>
                          </a:prstGeom>
                          <a:noFill/>
                          <a:ln>
                            <a:noFill/>
                          </a:ln>
                        </pic:spPr>
                      </pic:pic>
                    </a:graphicData>
                  </a:graphic>
                </wp:inline>
              </w:drawing>
            </w:r>
          </w:p>
          <w:p>
            <w:pPr>
              <w:adjustRightInd w:val="0"/>
              <w:snapToGrid w:val="0"/>
              <w:spacing w:line="360" w:lineRule="auto"/>
              <w:jc w:val="center"/>
              <w:rPr>
                <w:bCs/>
                <w:kern w:val="0"/>
                <w:sz w:val="15"/>
                <w:szCs w:val="15"/>
              </w:rPr>
            </w:pPr>
            <w:r>
              <w:rPr>
                <w:rFonts w:hint="eastAsia"/>
                <w:bCs/>
                <w:kern w:val="0"/>
                <w:sz w:val="15"/>
                <w:szCs w:val="15"/>
              </w:rPr>
              <w:t>（a）小麦                                        （b）玉米</w:t>
            </w:r>
          </w:p>
          <w:p>
            <w:pPr>
              <w:adjustRightInd w:val="0"/>
              <w:snapToGrid w:val="0"/>
              <w:spacing w:line="360" w:lineRule="auto"/>
              <w:jc w:val="center"/>
              <w:rPr>
                <w:rFonts w:ascii="宋体" w:hAnsi="宋体" w:eastAsia="宋体"/>
                <w:bCs/>
                <w:kern w:val="0"/>
                <w:sz w:val="18"/>
                <w:szCs w:val="18"/>
              </w:rPr>
            </w:pPr>
            <w:r>
              <w:rPr>
                <w:rFonts w:hint="eastAsia" w:ascii="宋体" w:hAnsi="宋体" w:eastAsia="宋体"/>
                <w:bCs/>
                <w:kern w:val="0"/>
                <w:sz w:val="18"/>
                <w:szCs w:val="18"/>
              </w:rPr>
              <w:t>图</w:t>
            </w:r>
            <w:r>
              <w:rPr>
                <w:rFonts w:ascii="宋体" w:hAnsi="宋体" w:eastAsia="宋体"/>
                <w:bCs/>
                <w:kern w:val="0"/>
                <w:sz w:val="18"/>
                <w:szCs w:val="18"/>
              </w:rPr>
              <w:t>1</w:t>
            </w:r>
            <w:r>
              <w:rPr>
                <w:rFonts w:hint="eastAsia" w:ascii="宋体" w:hAnsi="宋体" w:eastAsia="宋体"/>
                <w:bCs/>
                <w:kern w:val="0"/>
                <w:sz w:val="18"/>
                <w:szCs w:val="18"/>
              </w:rPr>
              <w:t xml:space="preserve"> 生物质秸秆的能谱图</w:t>
            </w:r>
          </w:p>
          <w:p>
            <w:pPr>
              <w:spacing w:line="360" w:lineRule="auto"/>
              <w:ind w:firstLine="480" w:firstLineChars="200"/>
              <w:rPr>
                <w:rFonts w:hAnsi="宋体"/>
                <w:sz w:val="24"/>
              </w:rPr>
            </w:pPr>
            <w:r>
              <w:rPr>
                <w:rFonts w:hint="eastAsia" w:hAnsi="宋体"/>
                <w:sz w:val="24"/>
              </w:rPr>
              <w:t>得到不同类型生物质秸秆粉三素含量差异较大，小麦秸秆的纤维素和木质素的质量百分数大于玉米秸秆，而半纤维质量百分数小于玉米秸秆，且玉米秸秆的孔隙率稍大于小麦秸秆；用带能谱分析的扫描电子显微镜，进行定点的定性、定量分析，并对试样的局部区域进行线扫描和面扫描分析，如图1显示不同类型秸秆粉有明显而尖锐的谱峰，且</w:t>
            </w:r>
            <w:r>
              <w:rPr>
                <w:rFonts w:hAnsi="宋体"/>
                <w:sz w:val="24"/>
              </w:rPr>
              <w:t>C元素含量</w:t>
            </w:r>
            <w:r>
              <w:rPr>
                <w:rFonts w:hint="eastAsia" w:hAnsi="宋体"/>
                <w:sz w:val="24"/>
              </w:rPr>
              <w:t>相差不大，</w:t>
            </w:r>
            <w:r>
              <w:rPr>
                <w:rFonts w:hAnsi="宋体"/>
                <w:sz w:val="24"/>
              </w:rPr>
              <w:t>O、</w:t>
            </w:r>
            <w:r>
              <w:rPr>
                <w:rFonts w:hint="eastAsia" w:hAnsi="宋体"/>
                <w:sz w:val="24"/>
              </w:rPr>
              <w:t>P、S</w:t>
            </w:r>
            <w:r>
              <w:rPr>
                <w:rFonts w:hAnsi="宋体"/>
                <w:sz w:val="24"/>
              </w:rPr>
              <w:t>元素含量</w:t>
            </w:r>
            <w:r>
              <w:rPr>
                <w:rFonts w:hint="eastAsia" w:hAnsi="宋体"/>
                <w:sz w:val="24"/>
              </w:rPr>
              <w:t>有一定的差异，但都含有</w:t>
            </w:r>
            <w:r>
              <w:rPr>
                <w:rFonts w:hAnsi="宋体"/>
                <w:sz w:val="24"/>
              </w:rPr>
              <w:t>微量N、K元素</w:t>
            </w:r>
            <w:r>
              <w:rPr>
                <w:rFonts w:hint="eastAsia" w:hAnsi="宋体"/>
                <w:sz w:val="24"/>
              </w:rPr>
              <w:t>，</w:t>
            </w:r>
            <w:r>
              <w:rPr>
                <w:rFonts w:hAnsi="宋体"/>
                <w:sz w:val="24"/>
              </w:rPr>
              <w:t>对发酵产氢过程中起到</w:t>
            </w:r>
            <w:r>
              <w:rPr>
                <w:rFonts w:hint="eastAsia" w:hAnsi="宋体"/>
                <w:sz w:val="24"/>
              </w:rPr>
              <w:t>一定的</w:t>
            </w:r>
            <w:r>
              <w:rPr>
                <w:rFonts w:hAnsi="宋体"/>
                <w:sz w:val="24"/>
              </w:rPr>
              <w:t>促进作用。</w:t>
            </w:r>
          </w:p>
          <w:p>
            <w:pPr>
              <w:spacing w:line="360" w:lineRule="auto"/>
              <w:ind w:firstLine="480" w:firstLineChars="200"/>
              <w:rPr>
                <w:rFonts w:ascii="仿宋" w:hAnsi="仿宋" w:eastAsia="仿宋"/>
                <w:sz w:val="24"/>
                <w:szCs w:val="24"/>
              </w:rPr>
            </w:pPr>
            <w:r>
              <w:rPr>
                <w:rFonts w:hint="eastAsia" w:ascii="仿宋" w:hAnsi="仿宋" w:eastAsia="仿宋"/>
                <w:sz w:val="24"/>
                <w:szCs w:val="24"/>
              </w:rPr>
              <w:t>生物质秸秆超微粉碎过程中，粉碎时间对颗粒度影响较大，随着粉碎时间的延长，颗粒度逐渐变小。通过生物质秸秆SEM电镜分析，</w:t>
            </w:r>
            <w:r>
              <w:rPr>
                <w:rFonts w:ascii="仿宋" w:hAnsi="仿宋" w:eastAsia="仿宋"/>
                <w:sz w:val="24"/>
                <w:szCs w:val="24"/>
              </w:rPr>
              <w:t>球磨超微粉碎</w:t>
            </w:r>
            <w:r>
              <w:rPr>
                <w:rFonts w:hint="eastAsia" w:ascii="仿宋" w:hAnsi="仿宋" w:eastAsia="仿宋"/>
                <w:sz w:val="24"/>
                <w:szCs w:val="24"/>
              </w:rPr>
              <w:t>后的生物质秸秆</w:t>
            </w:r>
            <w:r>
              <w:rPr>
                <w:rFonts w:ascii="仿宋" w:hAnsi="仿宋" w:eastAsia="仿宋"/>
                <w:sz w:val="24"/>
                <w:szCs w:val="24"/>
              </w:rPr>
              <w:t>的纤维束结构和导管结构基本都被破坏，秸秆表面变得疏松多孔，多呈碎片颗粒状，少部分为棒状，排列凌乱</w:t>
            </w:r>
            <w:r>
              <w:rPr>
                <w:rFonts w:hint="eastAsia" w:ascii="仿宋" w:hAnsi="仿宋" w:eastAsia="仿宋"/>
                <w:sz w:val="24"/>
                <w:szCs w:val="24"/>
              </w:rPr>
              <w:t>，证明了超微粉碎</w:t>
            </w:r>
            <w:r>
              <w:rPr>
                <w:rFonts w:ascii="仿宋" w:hAnsi="仿宋" w:eastAsia="仿宋"/>
                <w:sz w:val="24"/>
                <w:szCs w:val="24"/>
              </w:rPr>
              <w:t>打破了木质素的阻碍，</w:t>
            </w:r>
            <w:r>
              <w:rPr>
                <w:rFonts w:hint="eastAsia" w:ascii="仿宋" w:hAnsi="仿宋" w:eastAsia="仿宋"/>
                <w:sz w:val="24"/>
                <w:szCs w:val="24"/>
              </w:rPr>
              <w:t>有效</w:t>
            </w:r>
            <w:r>
              <w:rPr>
                <w:rFonts w:ascii="仿宋" w:hAnsi="仿宋" w:eastAsia="仿宋"/>
                <w:sz w:val="24"/>
                <w:szCs w:val="24"/>
              </w:rPr>
              <w:t>降低了半纤维素对纤维束的笼罩程度，能够有效增大纤维素酶的可及度</w:t>
            </w:r>
            <w:r>
              <w:rPr>
                <w:rFonts w:hint="eastAsia" w:ascii="仿宋" w:hAnsi="仿宋" w:eastAsia="仿宋"/>
                <w:sz w:val="24"/>
                <w:szCs w:val="24"/>
              </w:rPr>
              <w:t>，有</w:t>
            </w:r>
            <w:r>
              <w:rPr>
                <w:rFonts w:ascii="仿宋" w:hAnsi="仿宋" w:eastAsia="仿宋"/>
                <w:sz w:val="24"/>
                <w:szCs w:val="24"/>
              </w:rPr>
              <w:t>利于纤维素酶将纤维素的多糖结构打开，形成葡萄糖、木糖等还原糖</w:t>
            </w:r>
            <w:r>
              <w:rPr>
                <w:rFonts w:hint="eastAsia" w:ascii="仿宋" w:hAnsi="仿宋" w:eastAsia="仿宋"/>
                <w:sz w:val="24"/>
                <w:szCs w:val="24"/>
              </w:rPr>
              <w:t>，该技术可用于秸秆生物制氢的预处理。超微玉米芯粉的粒径分布区间主要为</w:t>
            </w:r>
            <w:r>
              <w:rPr>
                <w:rFonts w:ascii="仿宋" w:hAnsi="仿宋" w:eastAsia="仿宋"/>
                <w:sz w:val="24"/>
                <w:szCs w:val="24"/>
              </w:rPr>
              <w:t>0.375μm</w:t>
            </w:r>
            <w:r>
              <w:rPr>
                <w:rFonts w:hint="eastAsia" w:ascii="仿宋" w:hAnsi="仿宋" w:eastAsia="仿宋"/>
                <w:sz w:val="24"/>
                <w:szCs w:val="24"/>
              </w:rPr>
              <w:t>至</w:t>
            </w:r>
            <w:r>
              <w:rPr>
                <w:rFonts w:ascii="仿宋" w:hAnsi="仿宋" w:eastAsia="仿宋"/>
                <w:sz w:val="24"/>
                <w:szCs w:val="24"/>
              </w:rPr>
              <w:t>2000μm</w:t>
            </w:r>
            <w:r>
              <w:rPr>
                <w:rFonts w:hint="eastAsia" w:ascii="仿宋" w:hAnsi="仿宋" w:eastAsia="仿宋"/>
                <w:sz w:val="24"/>
                <w:szCs w:val="24"/>
              </w:rPr>
              <w:t>，平均值为</w:t>
            </w:r>
            <w:r>
              <w:rPr>
                <w:rFonts w:ascii="仿宋" w:hAnsi="仿宋" w:eastAsia="仿宋"/>
                <w:sz w:val="24"/>
                <w:szCs w:val="24"/>
              </w:rPr>
              <w:t>13.75μm</w:t>
            </w:r>
            <w:r>
              <w:rPr>
                <w:rFonts w:hint="eastAsia" w:ascii="仿宋" w:hAnsi="仿宋" w:eastAsia="仿宋"/>
                <w:sz w:val="24"/>
                <w:szCs w:val="24"/>
              </w:rPr>
              <w:t>，中位粒径为</w:t>
            </w:r>
            <w:r>
              <w:rPr>
                <w:rFonts w:ascii="仿宋" w:hAnsi="仿宋" w:eastAsia="仿宋"/>
                <w:sz w:val="24"/>
                <w:szCs w:val="24"/>
              </w:rPr>
              <w:t>8.968μm</w:t>
            </w:r>
            <w:r>
              <w:rPr>
                <w:rFonts w:hint="eastAsia" w:ascii="仿宋" w:hAnsi="仿宋" w:eastAsia="仿宋"/>
                <w:sz w:val="24"/>
                <w:szCs w:val="24"/>
              </w:rPr>
              <w:t>，粒径为</w:t>
            </w:r>
            <w:r>
              <w:rPr>
                <w:rFonts w:ascii="仿宋" w:hAnsi="仿宋" w:eastAsia="仿宋"/>
                <w:sz w:val="24"/>
                <w:szCs w:val="24"/>
              </w:rPr>
              <w:t>1.927μm</w:t>
            </w:r>
            <w:r>
              <w:rPr>
                <w:rFonts w:hint="eastAsia" w:ascii="仿宋" w:hAnsi="仿宋" w:eastAsia="仿宋"/>
                <w:sz w:val="24"/>
                <w:szCs w:val="24"/>
              </w:rPr>
              <w:t>的颗粒含量占</w:t>
            </w:r>
            <w:r>
              <w:rPr>
                <w:rFonts w:ascii="仿宋" w:hAnsi="仿宋" w:eastAsia="仿宋"/>
                <w:sz w:val="24"/>
                <w:szCs w:val="24"/>
              </w:rPr>
              <w:t>10%</w:t>
            </w:r>
            <w:r>
              <w:rPr>
                <w:rFonts w:hint="eastAsia" w:ascii="仿宋" w:hAnsi="仿宋" w:eastAsia="仿宋"/>
                <w:sz w:val="24"/>
                <w:szCs w:val="24"/>
              </w:rPr>
              <w:t>，粒径为</w:t>
            </w:r>
            <w:r>
              <w:rPr>
                <w:rFonts w:ascii="仿宋" w:hAnsi="仿宋" w:eastAsia="仿宋"/>
                <w:sz w:val="24"/>
                <w:szCs w:val="24"/>
              </w:rPr>
              <w:t>31.62μm</w:t>
            </w:r>
            <w:r>
              <w:rPr>
                <w:rFonts w:hint="eastAsia" w:ascii="仿宋" w:hAnsi="仿宋" w:eastAsia="仿宋"/>
                <w:sz w:val="24"/>
                <w:szCs w:val="24"/>
              </w:rPr>
              <w:t>的颗粒含量占</w:t>
            </w:r>
            <w:r>
              <w:rPr>
                <w:rFonts w:ascii="仿宋" w:hAnsi="仿宋" w:eastAsia="仿宋"/>
                <w:sz w:val="24"/>
                <w:szCs w:val="24"/>
              </w:rPr>
              <w:t>90%</w:t>
            </w:r>
            <w:r>
              <w:rPr>
                <w:rFonts w:hint="eastAsia" w:ascii="仿宋" w:hAnsi="仿宋" w:eastAsia="仿宋"/>
                <w:sz w:val="24"/>
                <w:szCs w:val="24"/>
              </w:rPr>
              <w:t>。</w:t>
            </w:r>
          </w:p>
          <w:p>
            <w:pPr>
              <w:adjustRightInd w:val="0"/>
              <w:snapToGrid w:val="0"/>
              <w:jc w:val="center"/>
              <w:rPr>
                <w:bCs/>
                <w:kern w:val="0"/>
              </w:rPr>
            </w:pPr>
            <w:r>
              <w:rPr>
                <w:bCs/>
                <w:kern w:val="0"/>
              </w:rPr>
              <w:drawing>
                <wp:inline distT="0" distB="0" distL="0" distR="0">
                  <wp:extent cx="2667635" cy="1845945"/>
                  <wp:effectExtent l="1905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670949" cy="1847924"/>
                          </a:xfrm>
                          <a:prstGeom prst="rect">
                            <a:avLst/>
                          </a:prstGeom>
                          <a:noFill/>
                          <a:ln>
                            <a:noFill/>
                          </a:ln>
                        </pic:spPr>
                      </pic:pic>
                    </a:graphicData>
                  </a:graphic>
                </wp:inline>
              </w:drawing>
            </w:r>
            <w:r>
              <w:rPr>
                <w:rFonts w:hint="eastAsia"/>
                <w:bCs/>
                <w:kern w:val="0"/>
              </w:rPr>
              <w:t xml:space="preserve"> </w:t>
            </w:r>
            <w:r>
              <w:rPr>
                <w:bCs/>
                <w:kern w:val="0"/>
              </w:rPr>
              <w:drawing>
                <wp:inline distT="0" distB="0" distL="0" distR="0">
                  <wp:extent cx="2431415" cy="1845945"/>
                  <wp:effectExtent l="19050" t="0" r="6906"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443553" cy="1855208"/>
                          </a:xfrm>
                          <a:prstGeom prst="rect">
                            <a:avLst/>
                          </a:prstGeom>
                          <a:noFill/>
                          <a:ln>
                            <a:noFill/>
                          </a:ln>
                        </pic:spPr>
                      </pic:pic>
                    </a:graphicData>
                  </a:graphic>
                </wp:inline>
              </w:drawing>
            </w:r>
          </w:p>
          <w:p>
            <w:pPr>
              <w:adjustRightInd w:val="0"/>
              <w:snapToGrid w:val="0"/>
              <w:spacing w:line="360" w:lineRule="auto"/>
              <w:jc w:val="center"/>
              <w:rPr>
                <w:bCs/>
                <w:kern w:val="0"/>
              </w:rPr>
            </w:pPr>
            <w:r>
              <w:rPr>
                <w:rFonts w:hint="eastAsia"/>
                <w:bCs/>
                <w:kern w:val="0"/>
                <w:sz w:val="15"/>
                <w:szCs w:val="15"/>
              </w:rPr>
              <w:t xml:space="preserve">（a）小麦秸秆          </w:t>
            </w:r>
            <w:r>
              <w:rPr>
                <w:bCs/>
                <w:kern w:val="0"/>
                <w:sz w:val="15"/>
                <w:szCs w:val="15"/>
              </w:rPr>
              <w:t xml:space="preserve">   </w:t>
            </w:r>
            <w:r>
              <w:rPr>
                <w:rFonts w:hint="eastAsia"/>
                <w:bCs/>
                <w:kern w:val="0"/>
                <w:sz w:val="15"/>
                <w:szCs w:val="15"/>
              </w:rPr>
              <w:t xml:space="preserve">             </w:t>
            </w:r>
            <w:r>
              <w:rPr>
                <w:bCs/>
                <w:kern w:val="0"/>
                <w:sz w:val="15"/>
                <w:szCs w:val="15"/>
              </w:rPr>
              <w:t>(b)</w:t>
            </w:r>
            <w:r>
              <w:rPr>
                <w:rFonts w:hint="eastAsia"/>
                <w:bCs/>
                <w:kern w:val="0"/>
                <w:sz w:val="15"/>
                <w:szCs w:val="15"/>
              </w:rPr>
              <w:t xml:space="preserve"> 玉米秸秆</w:t>
            </w:r>
          </w:p>
          <w:p>
            <w:pPr>
              <w:adjustRightInd w:val="0"/>
              <w:snapToGrid w:val="0"/>
              <w:spacing w:line="360" w:lineRule="auto"/>
              <w:jc w:val="center"/>
              <w:rPr>
                <w:rFonts w:ascii="宋体" w:hAnsi="宋体" w:eastAsia="宋体"/>
                <w:bCs/>
                <w:kern w:val="0"/>
                <w:sz w:val="18"/>
                <w:szCs w:val="18"/>
              </w:rPr>
            </w:pPr>
            <w:r>
              <w:rPr>
                <w:rFonts w:hint="eastAsia"/>
                <w:bCs/>
                <w:kern w:val="0"/>
                <w:sz w:val="15"/>
                <w:szCs w:val="15"/>
              </w:rPr>
              <w:t xml:space="preserve">  </w:t>
            </w:r>
            <w:r>
              <w:rPr>
                <w:rFonts w:hint="eastAsia" w:ascii="宋体" w:hAnsi="宋体" w:eastAsia="宋体"/>
                <w:bCs/>
                <w:kern w:val="0"/>
                <w:sz w:val="18"/>
                <w:szCs w:val="18"/>
              </w:rPr>
              <w:t>图2 生物质秸秆的SEM图</w:t>
            </w:r>
          </w:p>
          <w:p>
            <w:pPr>
              <w:spacing w:line="360" w:lineRule="auto"/>
              <w:ind w:firstLine="480"/>
              <w:rPr>
                <w:rFonts w:ascii="仿宋" w:hAnsi="仿宋" w:eastAsia="仿宋"/>
                <w:sz w:val="24"/>
                <w:szCs w:val="24"/>
              </w:rPr>
            </w:pPr>
            <w:r>
              <w:rPr>
                <w:rFonts w:hint="eastAsia" w:ascii="仿宋" w:hAnsi="仿宋" w:eastAsia="仿宋"/>
                <w:sz w:val="24"/>
                <w:szCs w:val="24"/>
              </w:rPr>
              <w:t>对玉米秸秆、高粱秸秆、玉米芯、大豆秆、棉花秆等</w:t>
            </w:r>
            <w:r>
              <w:rPr>
                <w:rFonts w:ascii="仿宋" w:hAnsi="仿宋" w:eastAsia="仿宋"/>
                <w:sz w:val="24"/>
                <w:szCs w:val="24"/>
              </w:rPr>
              <w:t>5</w:t>
            </w:r>
            <w:r>
              <w:rPr>
                <w:rFonts w:hint="eastAsia" w:ascii="仿宋" w:hAnsi="仿宋" w:eastAsia="仿宋"/>
                <w:sz w:val="24"/>
                <w:szCs w:val="24"/>
              </w:rPr>
              <w:t>种超微生物质秸秆粉进行热重分析，其热解温度主要集中在</w:t>
            </w:r>
            <w:r>
              <w:rPr>
                <w:rFonts w:ascii="仿宋" w:hAnsi="仿宋" w:eastAsia="仿宋"/>
                <w:sz w:val="24"/>
                <w:szCs w:val="24"/>
              </w:rPr>
              <w:t>200-400</w:t>
            </w:r>
            <w:r>
              <w:rPr>
                <w:rFonts w:hint="eastAsia" w:ascii="仿宋" w:hAnsi="仿宋" w:eastAsia="仿宋"/>
                <w:sz w:val="24"/>
                <w:szCs w:val="24"/>
              </w:rPr>
              <w:t>℃</w:t>
            </w:r>
            <w:bookmarkStart w:id="0" w:name="OLE_LINK315"/>
            <w:bookmarkStart w:id="1" w:name="OLE_LINK316"/>
            <w:r>
              <w:rPr>
                <w:rFonts w:hint="eastAsia" w:ascii="仿宋" w:hAnsi="仿宋" w:eastAsia="仿宋"/>
                <w:sz w:val="24"/>
                <w:szCs w:val="24"/>
              </w:rPr>
              <w:t>，</w:t>
            </w:r>
            <w:bookmarkEnd w:id="0"/>
            <w:bookmarkEnd w:id="1"/>
            <w:r>
              <w:rPr>
                <w:rFonts w:hint="eastAsia" w:ascii="仿宋" w:hAnsi="仿宋" w:eastAsia="仿宋"/>
                <w:sz w:val="24"/>
                <w:szCs w:val="24"/>
              </w:rPr>
              <w:t>各类秸秆生物质的降解特性类似，高粱秸秆降解起始温度最低，玉米秸秆降解的起始温度最高，且玉米秸秆具有最高的起始温度失重率，即玉米秸秆的降解最易开始。在峰值温度下，各秸秆的失重率从</w:t>
            </w:r>
            <w:r>
              <w:rPr>
                <w:rFonts w:ascii="仿宋" w:hAnsi="仿宋" w:eastAsia="仿宋"/>
                <w:sz w:val="24"/>
                <w:szCs w:val="24"/>
              </w:rPr>
              <w:t xml:space="preserve">39.5% </w:t>
            </w:r>
            <w:r>
              <w:rPr>
                <w:rFonts w:hint="eastAsia" w:ascii="仿宋" w:hAnsi="仿宋" w:eastAsia="仿宋"/>
                <w:sz w:val="24"/>
                <w:szCs w:val="24"/>
              </w:rPr>
              <w:t>到</w:t>
            </w:r>
            <w:r>
              <w:rPr>
                <w:rFonts w:ascii="仿宋" w:hAnsi="仿宋" w:eastAsia="仿宋"/>
                <w:sz w:val="24"/>
                <w:szCs w:val="24"/>
              </w:rPr>
              <w:t xml:space="preserve"> 49.2%</w:t>
            </w:r>
            <w:r>
              <w:rPr>
                <w:rFonts w:hint="eastAsia" w:ascii="仿宋" w:hAnsi="仿宋" w:eastAsia="仿宋"/>
                <w:sz w:val="24"/>
                <w:szCs w:val="24"/>
              </w:rPr>
              <w:t>，此后各粉体仍保持高速降解直至转变温度。各生物质粉体为</w:t>
            </w:r>
            <w:r>
              <w:rPr>
                <w:rFonts w:ascii="仿宋" w:hAnsi="仿宋" w:eastAsia="仿宋"/>
                <w:sz w:val="24"/>
                <w:szCs w:val="24"/>
              </w:rPr>
              <w:t>340±6</w:t>
            </w:r>
            <w:r>
              <w:rPr>
                <w:rFonts w:hint="eastAsia" w:ascii="仿宋" w:hAnsi="仿宋" w:eastAsia="仿宋"/>
                <w:sz w:val="24"/>
                <w:szCs w:val="24"/>
              </w:rPr>
              <w:t>℃时，各粉体的失重率大约为</w:t>
            </w:r>
            <w:r>
              <w:rPr>
                <w:rFonts w:ascii="仿宋" w:hAnsi="仿宋" w:eastAsia="仿宋"/>
                <w:sz w:val="24"/>
                <w:szCs w:val="24"/>
              </w:rPr>
              <w:t>60%</w:t>
            </w:r>
            <w:r>
              <w:rPr>
                <w:rFonts w:hint="eastAsia" w:ascii="仿宋" w:hAnsi="仿宋" w:eastAsia="仿宋"/>
                <w:sz w:val="24"/>
                <w:szCs w:val="24"/>
              </w:rPr>
              <w:t>，</w:t>
            </w:r>
            <w:r>
              <w:rPr>
                <w:rFonts w:ascii="仿宋" w:hAnsi="仿宋" w:eastAsia="仿宋"/>
                <w:sz w:val="24"/>
                <w:szCs w:val="24"/>
              </w:rPr>
              <w:t xml:space="preserve"> </w:t>
            </w:r>
            <w:r>
              <w:rPr>
                <w:rFonts w:hint="eastAsia" w:ascii="仿宋" w:hAnsi="仿宋" w:eastAsia="仿宋"/>
                <w:sz w:val="24"/>
                <w:szCs w:val="24"/>
              </w:rPr>
              <w:t>玉米芯其易降解组分含量最高，失重率最高。</w:t>
            </w:r>
          </w:p>
          <w:p>
            <w:pPr>
              <w:jc w:val="center"/>
              <w:rPr>
                <w:rFonts w:ascii="Times New Roman" w:hAnsi="Times New Roman" w:eastAsia="宋体"/>
                <w:szCs w:val="21"/>
              </w:rPr>
            </w:pPr>
            <w:r>
              <w:rPr>
                <w:rFonts w:ascii="Times New Roman" w:hAnsi="Times New Roman" w:eastAsia="宋体"/>
                <w:color w:val="000000"/>
              </w:rPr>
              <w:drawing>
                <wp:inline distT="0" distB="0" distL="0" distR="0">
                  <wp:extent cx="3244850" cy="1974215"/>
                  <wp:effectExtent l="0" t="0" r="0" b="0"/>
                  <wp:docPr id="13" name="图片 13" descr="Gra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Graph1"/>
                          <pic:cNvPicPr>
                            <a:picLocks noChangeAspect="1" noChangeArrowheads="1"/>
                          </pic:cNvPicPr>
                        </pic:nvPicPr>
                        <pic:blipFill>
                          <a:blip r:embed="rId8" cstate="print">
                            <a:extLst>
                              <a:ext uri="{28A0092B-C50C-407E-A947-70E740481C1C}">
                                <a14:useLocalDpi xmlns:a14="http://schemas.microsoft.com/office/drawing/2010/main" val="0"/>
                              </a:ext>
                            </a:extLst>
                          </a:blip>
                          <a:srcRect l="9109" t="10585" b="4657"/>
                          <a:stretch>
                            <a:fillRect/>
                          </a:stretch>
                        </pic:blipFill>
                        <pic:spPr>
                          <a:xfrm>
                            <a:off x="0" y="0"/>
                            <a:ext cx="3262448" cy="1985333"/>
                          </a:xfrm>
                          <a:prstGeom prst="rect">
                            <a:avLst/>
                          </a:prstGeom>
                          <a:noFill/>
                          <a:ln>
                            <a:noFill/>
                          </a:ln>
                        </pic:spPr>
                      </pic:pic>
                    </a:graphicData>
                  </a:graphic>
                </wp:inline>
              </w:drawing>
            </w:r>
          </w:p>
          <w:p>
            <w:pPr>
              <w:jc w:val="center"/>
              <w:rPr>
                <w:rFonts w:ascii="宋体" w:hAnsi="宋体" w:eastAsia="宋体"/>
                <w:sz w:val="18"/>
                <w:szCs w:val="18"/>
              </w:rPr>
            </w:pPr>
            <w:r>
              <w:rPr>
                <w:rFonts w:hint="eastAsia" w:ascii="宋体" w:hAnsi="宋体" w:eastAsia="宋体"/>
                <w:sz w:val="18"/>
                <w:szCs w:val="18"/>
              </w:rPr>
              <w:t>图</w:t>
            </w:r>
            <w:r>
              <w:rPr>
                <w:rFonts w:ascii="宋体" w:hAnsi="宋体" w:eastAsia="宋体"/>
                <w:sz w:val="18"/>
                <w:szCs w:val="18"/>
              </w:rPr>
              <w:t>3</w:t>
            </w:r>
            <w:r>
              <w:rPr>
                <w:rFonts w:hint="eastAsia" w:ascii="宋体" w:hAnsi="宋体" w:eastAsia="宋体"/>
                <w:sz w:val="18"/>
                <w:szCs w:val="18"/>
              </w:rPr>
              <w:t>不同类型秸秆类生物质粉体的热失重曲线</w:t>
            </w:r>
          </w:p>
          <w:p>
            <w:pPr>
              <w:spacing w:line="360" w:lineRule="auto"/>
              <w:ind w:firstLine="480" w:firstLineChars="200"/>
              <w:rPr>
                <w:rFonts w:ascii="宋体" w:hAnsi="宋体" w:eastAsia="宋体"/>
                <w:sz w:val="21"/>
              </w:rPr>
            </w:pPr>
            <w:r>
              <w:rPr>
                <w:rFonts w:hint="eastAsia" w:ascii="仿宋" w:hAnsi="仿宋" w:eastAsia="仿宋"/>
                <w:sz w:val="24"/>
                <w:szCs w:val="24"/>
              </w:rPr>
              <w:t>利用傅里叶红外光谱法对不同类型秸秆类生物质及不同粉碎工艺制得的超微玉米芯粉进行了物质化学成分的官能团分析。不同类型秸秆类生物质组成类似，但由于不同成分含量上的差异，导致每种生物质都有独特的特征光谱，且吸收峰峰值强度及出现位置各不相同，但所有秸秆类生物质在</w:t>
            </w:r>
            <w:r>
              <w:rPr>
                <w:rFonts w:ascii="仿宋" w:hAnsi="仿宋" w:eastAsia="仿宋"/>
                <w:sz w:val="24"/>
                <w:szCs w:val="24"/>
              </w:rPr>
              <w:t>1026 cm-1</w:t>
            </w:r>
            <w:r>
              <w:rPr>
                <w:rFonts w:hint="eastAsia" w:ascii="仿宋" w:hAnsi="仿宋" w:eastAsia="仿宋"/>
                <w:sz w:val="24"/>
                <w:szCs w:val="24"/>
              </w:rPr>
              <w:t>处都有一个明显的吸收峰，吸收峰峰值强度顺序为玉米芯</w:t>
            </w:r>
            <w:r>
              <w:rPr>
                <w:rFonts w:ascii="仿宋" w:hAnsi="仿宋" w:eastAsia="仿宋"/>
                <w:sz w:val="24"/>
                <w:szCs w:val="24"/>
              </w:rPr>
              <w:t>&gt;</w:t>
            </w:r>
            <w:r>
              <w:rPr>
                <w:rFonts w:hint="eastAsia" w:ascii="仿宋" w:hAnsi="仿宋" w:eastAsia="仿宋"/>
                <w:sz w:val="24"/>
                <w:szCs w:val="24"/>
              </w:rPr>
              <w:t>棉花秸秆</w:t>
            </w:r>
            <w:r>
              <w:rPr>
                <w:rFonts w:ascii="仿宋" w:hAnsi="仿宋" w:eastAsia="仿宋"/>
                <w:sz w:val="24"/>
                <w:szCs w:val="24"/>
              </w:rPr>
              <w:t>&gt;</w:t>
            </w:r>
            <w:r>
              <w:rPr>
                <w:rFonts w:hint="eastAsia" w:ascii="仿宋" w:hAnsi="仿宋" w:eastAsia="仿宋"/>
                <w:sz w:val="24"/>
                <w:szCs w:val="24"/>
              </w:rPr>
              <w:t>高粱秸秆</w:t>
            </w:r>
            <w:r>
              <w:rPr>
                <w:rFonts w:ascii="仿宋" w:hAnsi="仿宋" w:eastAsia="仿宋"/>
                <w:sz w:val="24"/>
                <w:szCs w:val="24"/>
              </w:rPr>
              <w:t>&gt;</w:t>
            </w:r>
            <w:r>
              <w:rPr>
                <w:rFonts w:hint="eastAsia" w:ascii="仿宋" w:hAnsi="仿宋" w:eastAsia="仿宋"/>
                <w:sz w:val="24"/>
                <w:szCs w:val="24"/>
              </w:rPr>
              <w:t>玉米秸秆</w:t>
            </w:r>
            <w:r>
              <w:rPr>
                <w:rFonts w:ascii="仿宋" w:hAnsi="仿宋" w:eastAsia="仿宋"/>
                <w:sz w:val="24"/>
                <w:szCs w:val="24"/>
              </w:rPr>
              <w:t>&gt;</w:t>
            </w:r>
            <w:r>
              <w:rPr>
                <w:rFonts w:hint="eastAsia" w:ascii="仿宋" w:hAnsi="仿宋" w:eastAsia="仿宋"/>
                <w:sz w:val="24"/>
                <w:szCs w:val="24"/>
              </w:rPr>
              <w:t>大豆秸秆。同一种物质经历不同的预处理，其内部分子结构和成分都有一定的变化，验证了球磨超微预处理对生物质粉体结构和化学组成有一定的影响，但球磨时间过长，会对秸秆类生物质制氢造成消极影响。</w:t>
            </w:r>
          </w:p>
          <w:p>
            <w:pPr>
              <w:jc w:val="center"/>
              <w:rPr>
                <w:rFonts w:ascii="Times New Roman" w:hAnsi="Times New Roman" w:eastAsia="宋体"/>
                <w:b/>
                <w:color w:val="000000"/>
                <w:sz w:val="24"/>
              </w:rPr>
            </w:pPr>
            <w:r>
              <w:rPr>
                <w:rFonts w:ascii="Times New Roman" w:hAnsi="Times New Roman" w:eastAsia="宋体"/>
                <w:b/>
                <w:color w:val="000000"/>
                <w:sz w:val="24"/>
              </w:rPr>
              <w:drawing>
                <wp:inline distT="0" distB="0" distL="0" distR="0">
                  <wp:extent cx="3041650" cy="2279650"/>
                  <wp:effectExtent l="0" t="0" r="0" b="0"/>
                  <wp:docPr id="7168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8" name="图片 3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092884" cy="2318599"/>
                          </a:xfrm>
                          <a:prstGeom prst="rect">
                            <a:avLst/>
                          </a:prstGeom>
                          <a:noFill/>
                          <a:ln>
                            <a:noFill/>
                          </a:ln>
                        </pic:spPr>
                      </pic:pic>
                    </a:graphicData>
                  </a:graphic>
                </wp:inline>
              </w:drawing>
            </w:r>
          </w:p>
          <w:p>
            <w:pPr>
              <w:adjustRightInd w:val="0"/>
              <w:snapToGrid w:val="0"/>
              <w:spacing w:line="360" w:lineRule="auto"/>
              <w:jc w:val="center"/>
              <w:rPr>
                <w:rFonts w:ascii="宋体" w:hAnsi="宋体" w:eastAsia="宋体"/>
                <w:color w:val="000000"/>
                <w:sz w:val="18"/>
                <w:szCs w:val="18"/>
              </w:rPr>
            </w:pPr>
            <w:r>
              <w:rPr>
                <w:rFonts w:hint="eastAsia" w:ascii="宋体" w:hAnsi="宋体" w:eastAsia="宋体"/>
                <w:color w:val="000000"/>
                <w:sz w:val="18"/>
                <w:szCs w:val="18"/>
              </w:rPr>
              <w:t>图</w:t>
            </w:r>
            <w:r>
              <w:rPr>
                <w:rFonts w:ascii="宋体" w:hAnsi="宋体" w:eastAsia="宋体"/>
                <w:color w:val="000000"/>
                <w:sz w:val="18"/>
                <w:szCs w:val="18"/>
              </w:rPr>
              <w:t xml:space="preserve">4 </w:t>
            </w:r>
            <w:r>
              <w:rPr>
                <w:rFonts w:hint="eastAsia" w:ascii="宋体" w:hAnsi="宋体" w:eastAsia="宋体"/>
                <w:color w:val="000000"/>
                <w:sz w:val="18"/>
                <w:szCs w:val="18"/>
              </w:rPr>
              <w:t>不同工艺条件的生物质粉体</w:t>
            </w:r>
            <w:r>
              <w:rPr>
                <w:rFonts w:ascii="宋体" w:hAnsi="宋体" w:eastAsia="宋体"/>
                <w:color w:val="000000"/>
                <w:sz w:val="18"/>
                <w:szCs w:val="18"/>
              </w:rPr>
              <w:t xml:space="preserve">FTIR </w:t>
            </w:r>
            <w:r>
              <w:rPr>
                <w:rFonts w:hint="eastAsia" w:ascii="宋体" w:hAnsi="宋体" w:eastAsia="宋体"/>
                <w:color w:val="000000"/>
                <w:sz w:val="18"/>
                <w:szCs w:val="18"/>
              </w:rPr>
              <w:t>谱图</w:t>
            </w:r>
          </w:p>
          <w:p>
            <w:pPr>
              <w:spacing w:line="360" w:lineRule="auto"/>
              <w:ind w:firstLine="480"/>
              <w:rPr>
                <w:rFonts w:hAnsi="宋体"/>
                <w:sz w:val="24"/>
              </w:rPr>
            </w:pPr>
            <w:r>
              <w:rPr>
                <w:rFonts w:hint="eastAsia" w:hAnsi="宋体"/>
                <w:sz w:val="24"/>
              </w:rPr>
              <w:t>（</w:t>
            </w:r>
            <w:r>
              <w:rPr>
                <w:rFonts w:hAnsi="宋体"/>
                <w:sz w:val="24"/>
              </w:rPr>
              <w:t>2</w:t>
            </w:r>
            <w:r>
              <w:rPr>
                <w:rFonts w:hint="eastAsia" w:hAnsi="宋体"/>
                <w:sz w:val="24"/>
              </w:rPr>
              <w:t>）超微秸秆粉结构特征对产氢过程酶解传质的影响</w:t>
            </w:r>
          </w:p>
          <w:p>
            <w:pPr>
              <w:spacing w:line="360" w:lineRule="auto"/>
              <w:ind w:firstLine="480" w:firstLineChars="200"/>
              <w:rPr>
                <w:rFonts w:ascii="仿宋" w:hAnsi="仿宋" w:eastAsia="仿宋"/>
                <w:sz w:val="24"/>
                <w:szCs w:val="24"/>
              </w:rPr>
            </w:pPr>
            <w:r>
              <w:rPr>
                <w:rFonts w:hint="eastAsia" w:ascii="仿宋" w:hAnsi="仿宋" w:eastAsia="仿宋"/>
                <w:sz w:val="24"/>
                <w:szCs w:val="24"/>
              </w:rPr>
              <w:t>采用酶解的类分形动力学研究了生物质秸秆粉的酶解动学特性，揭示了生物质秸秆粉的微观特征和多孔特征与秸秆水解的相关关系，获得了小麦、玉米、高粱和棉花秸秆粉的类分形模型拟合酶解动力学参数和酶水解的类分形动力学曲线，同一超微粉碎处理方式，由于不同的秸秆物理性质不同，酶解小麦秸秆、高粱秸秆、玉米秸秆、棉花秸秆得到的还原糖质量浓度不同，小麦秸秆的纤维素含量最高，其酶解后得到的糖浓度也相对较高。</w:t>
            </w:r>
          </w:p>
          <w:p>
            <w:pPr>
              <w:autoSpaceDE w:val="0"/>
              <w:autoSpaceDN w:val="0"/>
              <w:adjustRightInd w:val="0"/>
              <w:jc w:val="center"/>
              <w:rPr>
                <w:rFonts w:ascii="Times New Roman" w:hAnsi="Times New Roman" w:eastAsia="等线"/>
                <w:kern w:val="0"/>
                <w:sz w:val="21"/>
                <w:szCs w:val="24"/>
              </w:rPr>
            </w:pPr>
            <w:r>
              <w:rPr>
                <w:rFonts w:ascii="Times New Roman" w:hAnsi="Times New Roman" w:eastAsia="等线"/>
                <w:kern w:val="0"/>
                <w:sz w:val="24"/>
                <w:szCs w:val="24"/>
              </w:rPr>
              <w:pict>
                <v:shape id="_x0000_i1025" o:spt="75" type="#_x0000_t75" style="height:174pt;width:258pt;" filled="t" o:preferrelative="f" stroked="f" coordsize="21600,21600">
                  <v:path/>
                  <v:fill on="t" focussize="0,0"/>
                  <v:stroke on="f" joinstyle="miter"/>
                  <v:imagedata r:id="rId10" o:title=""/>
                  <o:lock v:ext="edit" aspectratio="f"/>
                  <w10:wrap type="none"/>
                  <w10:anchorlock/>
                </v:shape>
              </w:pict>
            </w:r>
          </w:p>
          <w:p>
            <w:pPr>
              <w:adjustRightInd w:val="0"/>
              <w:snapToGrid w:val="0"/>
              <w:spacing w:line="360" w:lineRule="auto"/>
              <w:jc w:val="center"/>
              <w:rPr>
                <w:rFonts w:ascii="Times New Roman" w:hAnsi="Times New Roman" w:eastAsia="宋体"/>
                <w:bCs/>
                <w:kern w:val="0"/>
                <w:sz w:val="18"/>
                <w:szCs w:val="18"/>
              </w:rPr>
            </w:pPr>
            <w:r>
              <w:rPr>
                <w:rFonts w:hint="eastAsia" w:ascii="Times New Roman" w:hAnsi="Times New Roman" w:eastAsia="宋体"/>
                <w:bCs/>
                <w:kern w:val="0"/>
                <w:sz w:val="18"/>
                <w:szCs w:val="18"/>
              </w:rPr>
              <w:t>图</w:t>
            </w:r>
            <w:r>
              <w:rPr>
                <w:rFonts w:ascii="Times New Roman" w:hAnsi="Times New Roman" w:eastAsia="宋体"/>
                <w:bCs/>
                <w:kern w:val="0"/>
                <w:sz w:val="18"/>
                <w:szCs w:val="18"/>
              </w:rPr>
              <w:t>5</w:t>
            </w:r>
            <w:r>
              <w:rPr>
                <w:rFonts w:hint="eastAsia" w:ascii="Times New Roman" w:hAnsi="Times New Roman" w:eastAsia="宋体"/>
                <w:bCs/>
                <w:kern w:val="0"/>
                <w:sz w:val="18"/>
                <w:szCs w:val="18"/>
              </w:rPr>
              <w:t xml:space="preserve">  不同秸秆酶水解的类分形动力学曲线</w:t>
            </w:r>
          </w:p>
          <w:p>
            <w:pPr>
              <w:spacing w:line="360" w:lineRule="auto"/>
              <w:ind w:firstLine="480"/>
              <w:rPr>
                <w:rFonts w:ascii="仿宋" w:hAnsi="仿宋" w:eastAsia="仿宋"/>
                <w:sz w:val="24"/>
                <w:szCs w:val="24"/>
              </w:rPr>
            </w:pPr>
            <w:r>
              <w:rPr>
                <w:rFonts w:hint="eastAsia" w:ascii="仿宋" w:hAnsi="仿宋" w:eastAsia="仿宋"/>
                <w:sz w:val="24"/>
                <w:szCs w:val="24"/>
              </w:rPr>
              <w:t>4种秸秆类生物质粉的水解速率在零时刻最大，然后随着时间的增加而不断降低，在起初的12h之内，酶解速率下降最快，有超过60%的还原糖生成，后期由于酶的活性和底物可及性降低、产物还原糖抑制作用，水解速率趋近于0。</w:t>
            </w:r>
          </w:p>
          <w:p>
            <w:pPr>
              <w:jc w:val="center"/>
              <w:rPr>
                <w:sz w:val="21"/>
              </w:rPr>
            </w:pPr>
            <w:r>
              <w:rPr>
                <w:rFonts w:hint="eastAsia"/>
              </w:rPr>
              <w:object>
                <v:shape id="_x0000_i1026" o:spt="75" type="#_x0000_t75" style="height:175pt;width:279.5pt;" o:ole="t" filled="f" o:preferrelative="f" stroked="f" coordsize="21600,21600">
                  <v:path/>
                  <v:fill on="f" focussize="0,0"/>
                  <v:stroke on="f" joinstyle="miter"/>
                  <v:imagedata r:id="rId12" o:title=""/>
                  <o:lock v:ext="edit" aspectratio="f"/>
                  <w10:wrap type="none"/>
                  <w10:anchorlock/>
                </v:shape>
                <o:OLEObject Type="Embed" ProgID="Origin50.Graph" ShapeID="_x0000_i1026" DrawAspect="Content" ObjectID="_1468075725" r:id="rId11">
                  <o:LockedField>false</o:LockedField>
                </o:OLEObject>
              </w:object>
            </w:r>
          </w:p>
          <w:p>
            <w:pPr>
              <w:snapToGrid w:val="0"/>
              <w:spacing w:line="360" w:lineRule="auto"/>
              <w:jc w:val="center"/>
              <w:rPr>
                <w:rFonts w:eastAsia="宋体"/>
                <w:bCs/>
                <w:sz w:val="18"/>
                <w:szCs w:val="18"/>
              </w:rPr>
            </w:pPr>
            <w:r>
              <w:rPr>
                <w:rFonts w:hint="eastAsia" w:eastAsia="宋体"/>
                <w:bCs/>
                <w:sz w:val="18"/>
                <w:szCs w:val="18"/>
              </w:rPr>
              <w:t>图</w:t>
            </w:r>
            <w:r>
              <w:rPr>
                <w:rFonts w:eastAsia="宋体"/>
                <w:bCs/>
                <w:sz w:val="18"/>
                <w:szCs w:val="18"/>
              </w:rPr>
              <w:t>6</w:t>
            </w:r>
            <w:r>
              <w:rPr>
                <w:rFonts w:hint="eastAsia" w:eastAsia="宋体"/>
                <w:bCs/>
                <w:sz w:val="18"/>
                <w:szCs w:val="18"/>
              </w:rPr>
              <w:t xml:space="preserve">  不同秸秆的酶解速率常数曲线</w:t>
            </w:r>
          </w:p>
          <w:p>
            <w:pPr>
              <w:spacing w:line="360" w:lineRule="auto"/>
              <w:ind w:firstLine="480"/>
              <w:rPr>
                <w:rFonts w:ascii="仿宋" w:hAnsi="仿宋" w:eastAsia="仿宋"/>
                <w:sz w:val="24"/>
                <w:szCs w:val="24"/>
              </w:rPr>
            </w:pPr>
            <w:r>
              <w:rPr>
                <w:rFonts w:hint="eastAsia" w:ascii="仿宋" w:hAnsi="仿宋" w:eastAsia="仿宋"/>
                <w:sz w:val="24"/>
                <w:szCs w:val="24"/>
              </w:rPr>
              <w:t>分析了秸秆粉微观特征和多尺度效应对酶水解的影响，得到经过酶水解后的秸秆残渣出现孔洞，而这些孔洞在酶解前的秸秆上是不存在的，证实了纤维素有活性位点。超微粉碎预处理过的物料可以提供巨大的表面积，在粉体较小的颗粒表面上，聚集了大量的酶解孔洞，而粒径较大的表面酶解孔洞较少且分布也比较分散，研究揭示了超微粉碎的秸秆粉在单位面积上产生较多的酶能和其作用的活性位点，从而提高了酶水解糖化率的规律。结合光合细菌生长、底物消耗及产氢特性，得到生物质秸秆降解糖化是其生物制氢的关键步骤。</w:t>
            </w:r>
          </w:p>
          <w:p>
            <w:pPr>
              <w:autoSpaceDE w:val="0"/>
              <w:autoSpaceDN w:val="0"/>
              <w:adjustRightInd w:val="0"/>
              <w:spacing w:line="360" w:lineRule="auto"/>
              <w:ind w:firstLine="600" w:firstLineChars="200"/>
              <w:jc w:val="center"/>
              <w:rPr>
                <w:rFonts w:ascii="Times New Roman"/>
                <w:szCs w:val="21"/>
              </w:rPr>
            </w:pPr>
            <w:r>
              <w:rPr>
                <w:rFonts w:ascii="Times New Roman"/>
                <w:szCs w:val="21"/>
              </w:rPr>
              <w:drawing>
                <wp:inline distT="0" distB="0" distL="0" distR="0">
                  <wp:extent cx="4830445" cy="2025015"/>
                  <wp:effectExtent l="19050" t="0" r="7908"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3" cstate="print">
                            <a:extLst>
                              <a:ext uri="{28A0092B-C50C-407E-A947-70E740481C1C}">
                                <a14:useLocalDpi xmlns:a14="http://schemas.microsoft.com/office/drawing/2010/main" val="0"/>
                              </a:ext>
                            </a:extLst>
                          </a:blip>
                          <a:srcRect l="1941"/>
                          <a:stretch>
                            <a:fillRect/>
                          </a:stretch>
                        </pic:blipFill>
                        <pic:spPr>
                          <a:xfrm>
                            <a:off x="0" y="0"/>
                            <a:ext cx="4874625" cy="2043731"/>
                          </a:xfrm>
                          <a:prstGeom prst="rect">
                            <a:avLst/>
                          </a:prstGeom>
                          <a:noFill/>
                          <a:ln>
                            <a:noFill/>
                          </a:ln>
                        </pic:spPr>
                      </pic:pic>
                    </a:graphicData>
                  </a:graphic>
                </wp:inline>
              </w:drawing>
            </w:r>
          </w:p>
          <w:p>
            <w:pPr>
              <w:adjustRightInd w:val="0"/>
              <w:snapToGrid w:val="0"/>
              <w:spacing w:line="360" w:lineRule="auto"/>
              <w:jc w:val="center"/>
              <w:rPr>
                <w:rFonts w:ascii="Times New Roman" w:hAnsi="Times New Roman" w:eastAsia="宋体"/>
                <w:bCs/>
                <w:kern w:val="0"/>
                <w:sz w:val="18"/>
                <w:szCs w:val="18"/>
              </w:rPr>
            </w:pPr>
            <w:r>
              <w:rPr>
                <w:rFonts w:hint="eastAsia" w:ascii="Times New Roman" w:hAnsi="Times New Roman" w:eastAsia="宋体"/>
                <w:bCs/>
                <w:kern w:val="0"/>
                <w:sz w:val="18"/>
                <w:szCs w:val="18"/>
              </w:rPr>
              <w:t>图</w:t>
            </w:r>
            <w:r>
              <w:rPr>
                <w:rFonts w:ascii="Times New Roman" w:hAnsi="Times New Roman" w:eastAsia="宋体"/>
                <w:bCs/>
                <w:kern w:val="0"/>
                <w:sz w:val="18"/>
                <w:szCs w:val="18"/>
              </w:rPr>
              <w:t>7</w:t>
            </w:r>
            <w:r>
              <w:rPr>
                <w:rFonts w:hint="eastAsia" w:ascii="Times New Roman" w:hAnsi="Times New Roman" w:eastAsia="宋体"/>
                <w:bCs/>
                <w:kern w:val="0"/>
                <w:sz w:val="18"/>
                <w:szCs w:val="18"/>
              </w:rPr>
              <w:t xml:space="preserve">  酶解后的秸秆的SEM</w:t>
            </w:r>
          </w:p>
          <w:p>
            <w:pPr>
              <w:spacing w:line="360" w:lineRule="auto"/>
              <w:ind w:firstLine="480"/>
              <w:rPr>
                <w:rFonts w:hAnsi="宋体"/>
                <w:sz w:val="24"/>
              </w:rPr>
            </w:pPr>
            <w:r>
              <w:rPr>
                <w:rFonts w:hint="eastAsia" w:hAnsi="宋体"/>
                <w:sz w:val="24"/>
              </w:rPr>
              <w:t>（</w:t>
            </w:r>
            <w:r>
              <w:rPr>
                <w:rFonts w:hAnsi="宋体"/>
                <w:sz w:val="24"/>
              </w:rPr>
              <w:t>3</w:t>
            </w:r>
            <w:r>
              <w:rPr>
                <w:rFonts w:hint="eastAsia" w:hAnsi="宋体"/>
                <w:sz w:val="24"/>
              </w:rPr>
              <w:t>）生物质秸秆粉光合生物产氢体系底物传输规律</w:t>
            </w:r>
          </w:p>
          <w:p>
            <w:pPr>
              <w:spacing w:line="360" w:lineRule="auto"/>
              <w:ind w:firstLine="480"/>
              <w:rPr>
                <w:rFonts w:ascii="仿宋" w:hAnsi="仿宋" w:eastAsia="仿宋"/>
                <w:sz w:val="24"/>
                <w:szCs w:val="24"/>
              </w:rPr>
            </w:pPr>
            <w:r>
              <w:rPr>
                <w:rFonts w:hint="eastAsia" w:ascii="仿宋" w:hAnsi="仿宋" w:eastAsia="仿宋"/>
                <w:sz w:val="24"/>
                <w:szCs w:val="24"/>
              </w:rPr>
              <w:t>光合细菌利用生物质秸秆粉光合产氢是以消耗农业废弃物秸秆，将有机物转化为氢气和自身生长所需营养，并伴随有机酸积累的过程。项目开展了HAU-M1光合产氢混合菌群的生长特性研究，证明了混合菌种的生长周期具有非线性的规律，获得各生长模型的拐点时龄均在菌群的对数生长期，且Logistic模型的拟合度最高为0.9797，其次是Gompertz模型，并应用Logistic模型得到HAU-M1光合菌群的绝对生长速率和相对生长速率，获得底物</w:t>
            </w:r>
            <w:r>
              <w:rPr>
                <w:rFonts w:ascii="仿宋" w:hAnsi="仿宋" w:eastAsia="仿宋"/>
                <w:sz w:val="24"/>
                <w:szCs w:val="24"/>
              </w:rPr>
              <w:t>可以作为碳源和能量物质为光合细菌的生长提供基础物质条件，同时也为光合细菌产氢提供氢质子和电子供体，</w:t>
            </w:r>
            <w:r>
              <w:rPr>
                <w:rFonts w:hint="eastAsia" w:ascii="仿宋" w:hAnsi="仿宋" w:eastAsia="仿宋"/>
                <w:sz w:val="24"/>
                <w:szCs w:val="24"/>
              </w:rPr>
              <w:t>要维持HAU-M1光合菌群较好的活性，在生长培养12h以后需要增大营养物质的添加量，以满足光合产氢细菌生长代谢的需求。</w:t>
            </w:r>
          </w:p>
          <w:p>
            <w:pPr>
              <w:spacing w:before="156" w:beforeLines="50"/>
              <w:jc w:val="center"/>
              <w:rPr>
                <w:szCs w:val="21"/>
              </w:rPr>
            </w:pPr>
            <w:r>
              <w:rPr>
                <w:szCs w:val="21"/>
              </w:rPr>
              <w:object>
                <v:shape id="_x0000_i1027" o:spt="75" type="#_x0000_t75" style="height:185pt;width:234.5pt;" o:ole="t" filled="f" o:preferrelative="t" stroked="f" coordsize="21600,21600">
                  <v:path/>
                  <v:fill on="f" focussize="0,0"/>
                  <v:stroke on="f" joinstyle="miter"/>
                  <v:imagedata r:id="rId15" o:title=""/>
                  <o:lock v:ext="edit" aspectratio="t"/>
                  <w10:wrap type="none"/>
                  <w10:anchorlock/>
                </v:shape>
                <o:OLEObject Type="Embed" ProgID="Origin50.Graph" ShapeID="_x0000_i1027" DrawAspect="Content" ObjectID="_1468075726" r:id="rId14">
                  <o:LockedField>false</o:LockedField>
                </o:OLEObject>
              </w:object>
            </w:r>
          </w:p>
          <w:p>
            <w:pPr>
              <w:snapToGrid w:val="0"/>
              <w:spacing w:line="360" w:lineRule="auto"/>
              <w:jc w:val="center"/>
              <w:rPr>
                <w:rFonts w:eastAsia="宋体"/>
                <w:bCs/>
                <w:sz w:val="18"/>
                <w:szCs w:val="18"/>
              </w:rPr>
            </w:pPr>
            <w:r>
              <w:rPr>
                <w:rFonts w:hint="eastAsia" w:eastAsia="宋体"/>
                <w:bCs/>
                <w:sz w:val="18"/>
                <w:szCs w:val="18"/>
              </w:rPr>
              <w:t>图</w:t>
            </w:r>
            <w:r>
              <w:rPr>
                <w:rFonts w:eastAsia="宋体"/>
                <w:bCs/>
                <w:sz w:val="18"/>
                <w:szCs w:val="18"/>
              </w:rPr>
              <w:t xml:space="preserve">8 </w:t>
            </w:r>
            <w:r>
              <w:rPr>
                <w:rFonts w:hint="eastAsia" w:eastAsia="宋体"/>
                <w:bCs/>
                <w:sz w:val="18"/>
                <w:szCs w:val="18"/>
              </w:rPr>
              <w:t xml:space="preserve"> HAU-M1光合产氢菌群生长规律</w:t>
            </w:r>
          </w:p>
          <w:p>
            <w:pPr>
              <w:spacing w:line="360" w:lineRule="auto"/>
              <w:ind w:firstLine="480"/>
              <w:rPr>
                <w:rFonts w:ascii="仿宋" w:hAnsi="仿宋" w:eastAsia="仿宋"/>
                <w:sz w:val="24"/>
                <w:szCs w:val="24"/>
              </w:rPr>
            </w:pPr>
            <w:r>
              <w:rPr>
                <w:rFonts w:hint="eastAsia" w:ascii="仿宋" w:hAnsi="仿宋" w:eastAsia="仿宋"/>
                <w:sz w:val="24"/>
                <w:szCs w:val="24"/>
              </w:rPr>
              <w:t>同时利用非线性回归方程直接进入非线性最小二乘拟合，采用试样法使得参数平方和最小而进行循环迭代估计，进行了生物质秸秆粉酸碱糖化和酶解糖化光合产氢传质研究。4种秸秆的产氢高峰期都集中在光合细菌的对数期，小麦秸秆大约有80%的氢气在这个阶段累积，而其它3种秸秆在对数期的产氢累积量达到了90%以上，等菌种进入稳定期时，虽然菌种数目达到了动态平衡，但由于底物中还原糖消耗和菌种活力的下降导致在这个阶段中累积的氢气很少。</w:t>
            </w:r>
          </w:p>
          <w:p>
            <w:pPr>
              <w:spacing w:line="360" w:lineRule="auto"/>
              <w:ind w:firstLine="480"/>
              <w:jc w:val="center"/>
              <w:rPr>
                <w:rFonts w:ascii="仿宋" w:hAnsi="仿宋" w:eastAsia="仿宋"/>
                <w:sz w:val="24"/>
                <w:szCs w:val="24"/>
              </w:rPr>
            </w:pPr>
            <w:r>
              <w:object>
                <v:shape id="_x0000_i1028" o:spt="75" type="#_x0000_t75" style="height:170pt;width:265.5pt;" o:ole="t" filled="t" o:preferrelative="t" stroked="f" coordsize="21600,21600">
                  <v:path/>
                  <v:fill on="t" focussize="0,0"/>
                  <v:stroke on="f" joinstyle="miter"/>
                  <v:imagedata r:id="rId17" cropleft="122f" croptop="151f" cropright="122f" cropbottom="151f" o:title=""/>
                  <o:lock v:ext="edit" aspectratio="f"/>
                  <w10:wrap type="none"/>
                  <w10:anchorlock/>
                </v:shape>
                <o:OLEObject Type="Embed" ProgID="Origin50.Graph" ShapeID="_x0000_i1028" DrawAspect="Content" ObjectID="_1468075727" r:id="rId16">
                  <o:LockedField>false</o:LockedField>
                </o:OLEObject>
              </w:object>
            </w:r>
          </w:p>
          <w:p>
            <w:pPr>
              <w:snapToGrid w:val="0"/>
              <w:spacing w:line="360" w:lineRule="auto"/>
              <w:jc w:val="center"/>
              <w:rPr>
                <w:rFonts w:eastAsia="宋体"/>
                <w:bCs/>
                <w:sz w:val="18"/>
                <w:szCs w:val="18"/>
              </w:rPr>
            </w:pPr>
            <w:r>
              <w:rPr>
                <w:rFonts w:hint="eastAsia" w:eastAsia="宋体"/>
                <w:bCs/>
                <w:sz w:val="18"/>
                <w:szCs w:val="18"/>
              </w:rPr>
              <w:t>图</w:t>
            </w:r>
            <w:r>
              <w:rPr>
                <w:rFonts w:eastAsia="宋体"/>
                <w:bCs/>
                <w:sz w:val="18"/>
                <w:szCs w:val="18"/>
              </w:rPr>
              <w:t>9</w:t>
            </w:r>
            <w:r>
              <w:rPr>
                <w:rFonts w:hint="eastAsia" w:eastAsia="宋体"/>
                <w:bCs/>
                <w:sz w:val="18"/>
                <w:szCs w:val="18"/>
              </w:rPr>
              <w:t xml:space="preserve"> 不同秸秆的累积产氢量</w:t>
            </w:r>
          </w:p>
          <w:p>
            <w:pPr>
              <w:spacing w:line="360" w:lineRule="auto"/>
              <w:ind w:firstLine="480"/>
              <w:rPr>
                <w:rFonts w:ascii="仿宋" w:hAnsi="仿宋" w:eastAsia="仿宋"/>
                <w:sz w:val="24"/>
                <w:szCs w:val="24"/>
              </w:rPr>
            </w:pPr>
            <w:r>
              <w:rPr>
                <w:rFonts w:hint="eastAsia" w:ascii="仿宋" w:hAnsi="仿宋" w:eastAsia="仿宋"/>
                <w:sz w:val="24"/>
                <w:szCs w:val="24"/>
              </w:rPr>
              <w:t>采用修正的</w:t>
            </w:r>
            <w:r>
              <w:rPr>
                <w:rFonts w:ascii="仿宋" w:hAnsi="仿宋" w:eastAsia="仿宋"/>
                <w:sz w:val="24"/>
                <w:szCs w:val="24"/>
              </w:rPr>
              <w:t>Gompertz</w:t>
            </w:r>
            <w:r>
              <w:rPr>
                <w:rFonts w:hint="eastAsia" w:ascii="仿宋" w:hAnsi="仿宋" w:eastAsia="仿宋"/>
                <w:sz w:val="24"/>
                <w:szCs w:val="24"/>
              </w:rPr>
              <w:t>方程对秸秆生物质的酶解产氢进行分析，揭示了秸秆粉底物降解规律及其与产氢之间的关系。酶水解的过程中小麦秸秆累积的还原糖量最高，光合生物产氢能力最强，产氢速率也最大，即秸秆酶解糖化能力与产氢传质有直接关系，</w:t>
            </w:r>
            <w:r>
              <w:rPr>
                <w:rFonts w:hint="eastAsia"/>
                <w:sz w:val="24"/>
                <w:szCs w:val="24"/>
              </w:rPr>
              <w:t>随着菌体数目的增多和活性的增大，4种秸秆类生物质的产氢量达到了90%以上，产氢速率达到了最大值，同时由于菌体的迅速增长使得底物中还原糖的含量几乎被消耗殆尽，也解除了底物中还原糖对纤维素酶的抑制，说明</w:t>
            </w:r>
            <w:r>
              <w:rPr>
                <w:rFonts w:hint="eastAsia" w:ascii="仿宋" w:hAnsi="仿宋" w:eastAsia="仿宋"/>
                <w:sz w:val="24"/>
                <w:szCs w:val="24"/>
              </w:rPr>
              <w:t>秸秆水解糖化能力越强，光合细菌消耗底物能力越强，产氢传质能力越大，生物秸秆的水解糖化对产氢起着重要作用。</w:t>
            </w:r>
          </w:p>
          <w:p>
            <w:pPr>
              <w:jc w:val="center"/>
            </w:pPr>
            <w:r>
              <w:object>
                <v:shape id="_x0000_i1029" o:spt="75" type="#_x0000_t75" style="height:177.5pt;width:253.5pt;" o:ole="t" filled="t" o:preferrelative="f" stroked="f" coordsize="21600,21600">
                  <v:path/>
                  <v:fill on="t" focussize="0,0"/>
                  <v:stroke on="f" joinstyle="miter"/>
                  <v:imagedata r:id="rId19" o:title=""/>
                  <o:lock v:ext="edit" aspectratio="f"/>
                  <w10:wrap type="none"/>
                  <w10:anchorlock/>
                </v:shape>
                <o:OLEObject Type="Embed" ProgID="Origin50.Graph" ShapeID="_x0000_i1029" DrawAspect="Content" ObjectID="_1468075728" r:id="rId18">
                  <o:LockedField>false</o:LockedField>
                </o:OLEObject>
              </w:object>
            </w:r>
          </w:p>
          <w:p>
            <w:pPr>
              <w:snapToGrid w:val="0"/>
              <w:spacing w:line="360" w:lineRule="auto"/>
              <w:jc w:val="center"/>
              <w:rPr>
                <w:rFonts w:eastAsia="宋体"/>
                <w:bCs/>
                <w:sz w:val="18"/>
                <w:szCs w:val="18"/>
              </w:rPr>
            </w:pPr>
            <w:r>
              <w:rPr>
                <w:rFonts w:hint="eastAsia" w:eastAsia="宋体"/>
                <w:bCs/>
                <w:sz w:val="18"/>
                <w:szCs w:val="18"/>
              </w:rPr>
              <w:t>图1</w:t>
            </w:r>
            <w:r>
              <w:rPr>
                <w:rFonts w:eastAsia="宋体"/>
                <w:bCs/>
                <w:sz w:val="18"/>
                <w:szCs w:val="18"/>
              </w:rPr>
              <w:t>0</w:t>
            </w:r>
            <w:r>
              <w:rPr>
                <w:rFonts w:hint="eastAsia" w:eastAsia="宋体"/>
                <w:bCs/>
                <w:sz w:val="18"/>
                <w:szCs w:val="18"/>
              </w:rPr>
              <w:t xml:space="preserve">  不同秸秆底物降解曲线</w:t>
            </w:r>
          </w:p>
          <w:p>
            <w:pPr>
              <w:spacing w:line="360" w:lineRule="auto"/>
              <w:ind w:firstLine="480"/>
              <w:rPr>
                <w:rFonts w:ascii="仿宋" w:hAnsi="仿宋" w:eastAsia="仿宋"/>
                <w:sz w:val="24"/>
                <w:szCs w:val="24"/>
              </w:rPr>
            </w:pPr>
            <w:r>
              <w:rPr>
                <w:rFonts w:hint="eastAsia" w:ascii="仿宋" w:hAnsi="仿宋" w:eastAsia="仿宋"/>
                <w:sz w:val="24"/>
                <w:szCs w:val="24"/>
              </w:rPr>
              <w:t>分析了工艺参数对生物质秸秆粉酶解糖化产氢过程的影响，得到不同类型粉光合产氢生化反应过程，</w:t>
            </w:r>
            <w:r>
              <w:rPr>
                <w:rFonts w:ascii="仿宋" w:hAnsi="仿宋" w:eastAsia="仿宋"/>
                <w:sz w:val="24"/>
                <w:szCs w:val="24"/>
              </w:rPr>
              <w:t>pH</w:t>
            </w:r>
            <w:r>
              <w:rPr>
                <w:rFonts w:hint="eastAsia" w:ascii="仿宋" w:hAnsi="仿宋" w:eastAsia="仿宋"/>
                <w:sz w:val="24"/>
                <w:szCs w:val="24"/>
              </w:rPr>
              <w:t>值对产氢和糖化的影响较为显著，</w:t>
            </w:r>
            <w:r>
              <w:rPr>
                <w:rFonts w:hint="eastAsia"/>
                <w:sz w:val="24"/>
                <w:szCs w:val="24"/>
              </w:rPr>
              <w:t>随着产氢的进行底物中的还原糖逐渐被光合细菌消耗转化为小分子酸，底物中还原糖质量浓度越高最后料液中累积的小分子酸就越多，pH值就越小。</w:t>
            </w:r>
            <w:r>
              <w:rPr>
                <w:rFonts w:ascii="仿宋" w:hAnsi="仿宋" w:eastAsia="仿宋"/>
                <w:sz w:val="24"/>
                <w:szCs w:val="24"/>
              </w:rPr>
              <w:t>pH</w:t>
            </w:r>
            <w:r>
              <w:rPr>
                <w:rFonts w:hint="eastAsia" w:ascii="仿宋" w:hAnsi="仿宋" w:eastAsia="仿宋"/>
                <w:sz w:val="24"/>
                <w:szCs w:val="24"/>
              </w:rPr>
              <w:t>值为</w:t>
            </w:r>
            <w:r>
              <w:rPr>
                <w:rFonts w:ascii="仿宋" w:hAnsi="仿宋" w:eastAsia="仿宋"/>
                <w:sz w:val="24"/>
                <w:szCs w:val="24"/>
              </w:rPr>
              <w:t>6-9</w:t>
            </w:r>
            <w:r>
              <w:rPr>
                <w:rFonts w:hint="eastAsia" w:ascii="仿宋" w:hAnsi="仿宋" w:eastAsia="仿宋"/>
                <w:sz w:val="24"/>
                <w:szCs w:val="24"/>
              </w:rPr>
              <w:t>时，还原糖的降解率明显高于较强酸或较强碱条件下的还原糖降解率。采用优化的产氢工艺进行秸秆粉发酵产氢，累积产氢量达到</w:t>
            </w:r>
            <w:r>
              <w:rPr>
                <w:rFonts w:ascii="仿宋" w:hAnsi="仿宋" w:eastAsia="仿宋"/>
                <w:sz w:val="24"/>
                <w:szCs w:val="24"/>
              </w:rPr>
              <w:t>2.6mol H</w:t>
            </w:r>
            <w:r>
              <w:rPr>
                <w:rFonts w:ascii="仿宋" w:hAnsi="仿宋" w:eastAsia="仿宋"/>
                <w:sz w:val="24"/>
                <w:szCs w:val="24"/>
                <w:vertAlign w:val="subscript"/>
              </w:rPr>
              <w:t>2</w:t>
            </w:r>
            <w:r>
              <w:rPr>
                <w:rFonts w:ascii="仿宋" w:hAnsi="仿宋" w:eastAsia="仿宋"/>
                <w:sz w:val="24"/>
                <w:szCs w:val="24"/>
              </w:rPr>
              <w:t xml:space="preserve">/mol </w:t>
            </w:r>
            <w:r>
              <w:rPr>
                <w:rFonts w:hint="eastAsia" w:ascii="仿宋" w:hAnsi="仿宋" w:eastAsia="仿宋"/>
                <w:sz w:val="24"/>
                <w:szCs w:val="24"/>
              </w:rPr>
              <w:t>还原糖，底物降解率可达</w:t>
            </w:r>
            <w:r>
              <w:rPr>
                <w:rFonts w:ascii="仿宋" w:hAnsi="仿宋" w:eastAsia="仿宋"/>
                <w:sz w:val="24"/>
                <w:szCs w:val="24"/>
              </w:rPr>
              <w:t>82-94%</w:t>
            </w:r>
            <w:r>
              <w:rPr>
                <w:rFonts w:hint="eastAsia" w:ascii="仿宋" w:hAnsi="仿宋" w:eastAsia="仿宋"/>
                <w:sz w:val="24"/>
                <w:szCs w:val="24"/>
              </w:rPr>
              <w:t>。</w:t>
            </w:r>
          </w:p>
          <w:p>
            <w:pPr>
              <w:tabs>
                <w:tab w:val="left" w:pos="2304"/>
              </w:tabs>
              <w:spacing w:line="360" w:lineRule="auto"/>
              <w:jc w:val="center"/>
              <w:rPr>
                <w:rFonts w:ascii="Times New Roman" w:hAnsi="Times New Roman" w:eastAsia="宋体"/>
                <w:color w:val="000000"/>
                <w:szCs w:val="21"/>
              </w:rPr>
            </w:pPr>
            <w:r>
              <w:rPr>
                <w:rFonts w:ascii="Times New Roman" w:hAnsi="Times New Roman"/>
              </w:rPr>
              <w:drawing>
                <wp:inline distT="0" distB="0" distL="0" distR="0">
                  <wp:extent cx="4674235" cy="1771015"/>
                  <wp:effectExtent l="1905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697142" cy="1779879"/>
                          </a:xfrm>
                          <a:prstGeom prst="rect">
                            <a:avLst/>
                          </a:prstGeom>
                          <a:noFill/>
                          <a:ln>
                            <a:noFill/>
                          </a:ln>
                        </pic:spPr>
                      </pic:pic>
                    </a:graphicData>
                  </a:graphic>
                </wp:inline>
              </w:drawing>
            </w:r>
          </w:p>
          <w:p>
            <w:pPr>
              <w:spacing w:line="360" w:lineRule="auto"/>
              <w:jc w:val="center"/>
              <w:rPr>
                <w:rFonts w:ascii="宋体" w:hAnsi="宋体" w:eastAsia="宋体"/>
                <w:sz w:val="18"/>
                <w:szCs w:val="18"/>
              </w:rPr>
            </w:pPr>
            <w:r>
              <w:rPr>
                <w:rFonts w:hint="eastAsia" w:ascii="宋体" w:hAnsi="宋体" w:eastAsia="宋体"/>
                <w:sz w:val="18"/>
                <w:szCs w:val="18"/>
              </w:rPr>
              <w:t>图</w:t>
            </w:r>
            <w:r>
              <w:rPr>
                <w:rFonts w:ascii="宋体" w:hAnsi="宋体" w:eastAsia="宋体"/>
                <w:sz w:val="18"/>
                <w:szCs w:val="18"/>
              </w:rPr>
              <w:t>11</w:t>
            </w:r>
            <w:r>
              <w:rPr>
                <w:rFonts w:hint="eastAsia" w:ascii="宋体" w:hAnsi="宋体" w:eastAsia="宋体"/>
                <w:sz w:val="18"/>
                <w:szCs w:val="18"/>
              </w:rPr>
              <w:t xml:space="preserve"> 不同初</w:t>
            </w:r>
            <w:r>
              <w:rPr>
                <w:rFonts w:hint="eastAsia" w:ascii="宋体" w:hAnsi="宋体" w:eastAsia="宋体"/>
                <w:bCs/>
                <w:kern w:val="0"/>
                <w:sz w:val="18"/>
                <w:szCs w:val="18"/>
              </w:rPr>
              <w:t>始</w:t>
            </w:r>
            <w:r>
              <w:rPr>
                <w:rFonts w:ascii="宋体" w:hAnsi="宋体" w:eastAsia="宋体"/>
                <w:bCs/>
                <w:kern w:val="0"/>
                <w:sz w:val="18"/>
                <w:szCs w:val="18"/>
              </w:rPr>
              <w:t>pH</w:t>
            </w:r>
            <w:r>
              <w:rPr>
                <w:rFonts w:hint="eastAsia" w:ascii="宋体" w:hAnsi="宋体" w:eastAsia="宋体"/>
                <w:bCs/>
                <w:kern w:val="0"/>
                <w:sz w:val="18"/>
                <w:szCs w:val="18"/>
              </w:rPr>
              <w:t>值对光</w:t>
            </w:r>
            <w:r>
              <w:rPr>
                <w:rFonts w:hint="eastAsia" w:ascii="宋体" w:hAnsi="宋体" w:eastAsia="宋体"/>
                <w:sz w:val="18"/>
                <w:szCs w:val="18"/>
              </w:rPr>
              <w:t>合制氢过程中还原糖降解的影响</w:t>
            </w:r>
          </w:p>
          <w:p>
            <w:pPr>
              <w:spacing w:line="360" w:lineRule="auto"/>
              <w:ind w:firstLine="480"/>
              <w:rPr>
                <w:rFonts w:ascii="仿宋" w:hAnsi="仿宋" w:eastAsia="仿宋"/>
                <w:sz w:val="24"/>
                <w:szCs w:val="24"/>
              </w:rPr>
            </w:pPr>
            <w:r>
              <w:rPr>
                <w:rFonts w:hint="eastAsia" w:ascii="仿宋" w:hAnsi="仿宋" w:eastAsia="仿宋"/>
                <w:sz w:val="24"/>
                <w:szCs w:val="24"/>
              </w:rPr>
              <w:t>进一步探讨了秸秆糖化产氢过程，还原糖逐渐被光合细菌消耗，除转化为氢气和自身生长所需能量外，细菌代谢活动将底物转化为乙酸和丁酸等小分子酸代谢副产物过程，如图1</w:t>
            </w:r>
            <w:r>
              <w:rPr>
                <w:rFonts w:ascii="仿宋" w:hAnsi="仿宋" w:eastAsia="仿宋"/>
                <w:sz w:val="24"/>
                <w:szCs w:val="24"/>
              </w:rPr>
              <w:t>2</w:t>
            </w:r>
            <w:r>
              <w:rPr>
                <w:rFonts w:hint="eastAsia" w:ascii="仿宋" w:hAnsi="仿宋" w:eastAsia="仿宋"/>
                <w:sz w:val="24"/>
                <w:szCs w:val="24"/>
              </w:rPr>
              <w:t>。揭示了利用</w:t>
            </w:r>
            <w:r>
              <w:rPr>
                <w:rFonts w:ascii="仿宋" w:hAnsi="仿宋" w:eastAsia="仿宋"/>
                <w:sz w:val="24"/>
                <w:szCs w:val="24"/>
              </w:rPr>
              <w:t>HAU-M1</w:t>
            </w:r>
            <w:r>
              <w:rPr>
                <w:rFonts w:hint="eastAsia" w:ascii="仿宋" w:hAnsi="仿宋" w:eastAsia="仿宋"/>
                <w:sz w:val="24"/>
                <w:szCs w:val="24"/>
              </w:rPr>
              <w:t>光合菌群进行光合生物制氢的底物代谢途径，发现丁酸型发酵更适用于生物质多相流光合产氢过程的进行。</w:t>
            </w:r>
          </w:p>
          <w:p>
            <w:pPr>
              <w:tabs>
                <w:tab w:val="left" w:pos="2304"/>
              </w:tabs>
              <w:spacing w:line="360" w:lineRule="auto"/>
              <w:jc w:val="center"/>
              <w:rPr>
                <w:rFonts w:ascii="Times New Roman" w:hAnsi="Times New Roman" w:eastAsia="宋体"/>
                <w:color w:val="000000"/>
                <w:szCs w:val="21"/>
              </w:rPr>
            </w:pPr>
            <w:r>
              <w:rPr>
                <w:rFonts w:ascii="Times New Roman" w:hAnsi="Times New Roman" w:eastAsia="宋体"/>
                <w:color w:val="000000"/>
                <w:szCs w:val="21"/>
              </w:rPr>
              <w:drawing>
                <wp:inline distT="0" distB="0" distL="0" distR="0">
                  <wp:extent cx="2435860" cy="1880235"/>
                  <wp:effectExtent l="19050" t="0" r="2124"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454373" cy="1894528"/>
                          </a:xfrm>
                          <a:prstGeom prst="rect">
                            <a:avLst/>
                          </a:prstGeom>
                          <a:noFill/>
                          <a:ln>
                            <a:noFill/>
                          </a:ln>
                        </pic:spPr>
                      </pic:pic>
                    </a:graphicData>
                  </a:graphic>
                </wp:inline>
              </w:drawing>
            </w:r>
            <w:r>
              <w:rPr>
                <w:rFonts w:ascii="Times New Roman" w:hAnsi="Times New Roman"/>
              </w:rPr>
              <w:drawing>
                <wp:inline distT="0" distB="0" distL="0" distR="0">
                  <wp:extent cx="2524125" cy="1880235"/>
                  <wp:effectExtent l="19050" t="0" r="9191"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528221" cy="1883361"/>
                          </a:xfrm>
                          <a:prstGeom prst="rect">
                            <a:avLst/>
                          </a:prstGeom>
                          <a:noFill/>
                          <a:ln>
                            <a:noFill/>
                          </a:ln>
                        </pic:spPr>
                      </pic:pic>
                    </a:graphicData>
                  </a:graphic>
                </wp:inline>
              </w:drawing>
            </w:r>
          </w:p>
          <w:p>
            <w:pPr>
              <w:spacing w:line="360" w:lineRule="auto"/>
              <w:jc w:val="center"/>
              <w:rPr>
                <w:rFonts w:ascii="宋体" w:hAnsi="宋体" w:eastAsia="宋体"/>
                <w:sz w:val="18"/>
                <w:szCs w:val="18"/>
              </w:rPr>
            </w:pPr>
            <w:r>
              <w:rPr>
                <w:rFonts w:hint="eastAsia" w:ascii="宋体" w:hAnsi="宋体" w:eastAsia="宋体"/>
                <w:sz w:val="18"/>
                <w:szCs w:val="18"/>
              </w:rPr>
              <w:t>图</w:t>
            </w:r>
            <w:r>
              <w:rPr>
                <w:rFonts w:ascii="宋体" w:hAnsi="宋体" w:eastAsia="宋体"/>
                <w:sz w:val="18"/>
                <w:szCs w:val="18"/>
              </w:rPr>
              <w:t>12</w:t>
            </w:r>
            <w:r>
              <w:rPr>
                <w:rFonts w:hint="eastAsia" w:ascii="宋体" w:hAnsi="宋体" w:eastAsia="宋体"/>
                <w:sz w:val="18"/>
                <w:szCs w:val="18"/>
              </w:rPr>
              <w:t xml:space="preserve"> 光合生物制氢过程液相成分变化规律</w:t>
            </w:r>
          </w:p>
          <w:p>
            <w:pPr>
              <w:spacing w:line="360" w:lineRule="auto"/>
              <w:ind w:firstLine="480"/>
              <w:rPr>
                <w:sz w:val="24"/>
                <w:szCs w:val="24"/>
              </w:rPr>
            </w:pPr>
            <w:r>
              <w:rPr>
                <w:rFonts w:hint="eastAsia" w:ascii="仿宋" w:hAnsi="仿宋" w:eastAsia="仿宋"/>
                <w:sz w:val="24"/>
                <w:szCs w:val="24"/>
              </w:rPr>
              <w:t>研究分析了秸秆粉光合产氢能力与产氢菌种生长和底物还原糖消耗之间的相关关系，得到秸秆类生物质酶解动力学参数与还原糖质量浓度及累积产氢量成正比例的关系。揭示了</w:t>
            </w:r>
            <w:r>
              <w:rPr>
                <w:rFonts w:hint="eastAsia"/>
                <w:sz w:val="24"/>
                <w:szCs w:val="24"/>
              </w:rPr>
              <w:t>产氢过程从生物质秸秆到可利用还原糖再至有机酸生成和氢能产生的物质转化规律，指出</w:t>
            </w:r>
            <w:r>
              <w:rPr>
                <w:rFonts w:hint="eastAsia" w:ascii="仿宋" w:hAnsi="仿宋" w:eastAsia="仿宋"/>
                <w:sz w:val="24"/>
                <w:szCs w:val="24"/>
              </w:rPr>
              <w:t>前期光合细菌将底物从细胞外扩散到细胞内时，生物体内代谢活动转化的能量主要用于光合细菌自身的生长代谢作用，导致产氢体系已经有氢气的生成，但数量较少，细菌生长对数期，氢酶的作用代谢生成氢气，光合细菌产氢速率较高。</w:t>
            </w:r>
          </w:p>
          <w:p>
            <w:pPr>
              <w:spacing w:line="360" w:lineRule="auto"/>
              <w:jc w:val="center"/>
              <w:rPr>
                <w:bCs/>
                <w:szCs w:val="21"/>
              </w:rPr>
            </w:pPr>
            <w:r>
              <w:rPr>
                <w:bCs/>
                <w:szCs w:val="21"/>
              </w:rPr>
              <w:object>
                <v:shape id="_x0000_i1030" o:spt="75" type="#_x0000_t75" style="height:183pt;width:264.5pt;" o:ole="t" filled="f" o:preferrelative="t" stroked="f" coordsize="21600,21600">
                  <v:path/>
                  <v:fill on="f" focussize="0,0"/>
                  <v:stroke on="f" joinstyle="miter"/>
                  <v:imagedata r:id="rId24" cropleft="2421f" croptop="1828f" cropright="1591f" cropbottom="3638f" o:title=""/>
                  <o:lock v:ext="edit" aspectratio="t"/>
                  <w10:wrap type="none"/>
                  <w10:anchorlock/>
                </v:shape>
                <o:OLEObject Type="Embed" ProgID="Origin50.Graph" ShapeID="_x0000_i1030" DrawAspect="Content" ObjectID="_1468075729" r:id="rId23">
                  <o:LockedField>false</o:LockedField>
                </o:OLEObject>
              </w:object>
            </w:r>
          </w:p>
          <w:p>
            <w:pPr>
              <w:snapToGrid w:val="0"/>
              <w:spacing w:line="360" w:lineRule="auto"/>
              <w:jc w:val="center"/>
              <w:rPr>
                <w:rFonts w:eastAsia="宋体"/>
                <w:bCs/>
                <w:sz w:val="18"/>
                <w:szCs w:val="18"/>
              </w:rPr>
            </w:pPr>
            <w:r>
              <w:rPr>
                <w:rFonts w:hint="eastAsia" w:eastAsia="宋体"/>
                <w:bCs/>
                <w:sz w:val="18"/>
                <w:szCs w:val="18"/>
              </w:rPr>
              <w:t>图1</w:t>
            </w:r>
            <w:r>
              <w:rPr>
                <w:rFonts w:eastAsia="宋体"/>
                <w:bCs/>
                <w:sz w:val="18"/>
                <w:szCs w:val="18"/>
              </w:rPr>
              <w:t>3</w:t>
            </w:r>
            <w:r>
              <w:rPr>
                <w:rFonts w:hint="eastAsia" w:eastAsia="宋体"/>
                <w:bCs/>
                <w:sz w:val="18"/>
                <w:szCs w:val="18"/>
              </w:rPr>
              <w:t xml:space="preserve"> 光合产氢过程质量转化对比分析</w:t>
            </w:r>
          </w:p>
          <w:p>
            <w:pPr>
              <w:spacing w:line="360" w:lineRule="auto"/>
              <w:ind w:firstLine="480"/>
              <w:rPr>
                <w:rFonts w:ascii="仿宋" w:hAnsi="仿宋" w:eastAsia="仿宋"/>
                <w:sz w:val="24"/>
                <w:szCs w:val="24"/>
              </w:rPr>
            </w:pPr>
            <w:r>
              <w:rPr>
                <w:rFonts w:hint="eastAsia" w:ascii="仿宋" w:hAnsi="仿宋" w:eastAsia="仿宋"/>
                <w:sz w:val="24"/>
                <w:szCs w:val="24"/>
              </w:rPr>
              <w:t>针对秸秆粉光合产氢传质过程受秸秆水解糖化影响，而挥发性脂肪酸导致产氢系统酸化，影响光合细菌将底物从细胞外扩散到细胞内的情况，开展了无机盐类添加物对生物产氢传质过程能量消耗促进细菌生长、反应体系酸化缓冲和氢能转化的影响规律和调控方法。得到磷酸盐对光合细菌的产氢有显著影响,磷酸盐在一定浓度范围内能够促进光合细菌产氢，过高或者过低的浓度对产氢都有抑制作用，且能够有效缓冲反应体系的pH值,添加磷酸盐的终pH值与对照组相比均呈显著性差异(P&lt;0.05),反应体系的终pH值都随着磷酸盐浓度的增加而逐渐升高，揭示了细胞内扩散传质阻力对多相流超微生物质产氢体系内底物消耗的限制性影响，说明适宜浓度的磷酸盐能够提高光合细菌产氢潜能,缩短产氢延迟。</w:t>
            </w:r>
          </w:p>
          <w:p>
            <w:pPr>
              <w:snapToGrid w:val="0"/>
              <w:spacing w:line="360" w:lineRule="auto"/>
              <w:rPr>
                <w:rFonts w:ascii="仿宋" w:hAnsi="仿宋" w:eastAsia="仿宋"/>
                <w:sz w:val="24"/>
                <w:szCs w:val="24"/>
              </w:rPr>
            </w:pPr>
            <w:r>
              <w:rPr>
                <w:rFonts w:hint="eastAsia"/>
              </w:rPr>
              <w:object>
                <v:shape id="_x0000_i1031" o:spt="75" type="#_x0000_t75" style="height:163.5pt;width:222.5pt;" o:ole="t" filled="f" o:preferrelative="t" stroked="f" coordsize="21600,21600">
                  <v:path/>
                  <v:fill on="f" focussize="0,0"/>
                  <v:stroke on="f" joinstyle="miter"/>
                  <v:imagedata r:id="rId26" cropbottom="3138f" o:title=""/>
                  <o:lock v:ext="edit" aspectratio="t"/>
                  <w10:wrap type="none"/>
                  <w10:anchorlock/>
                </v:shape>
                <o:OLEObject Type="Embed" ProgID="Origin50.Graph" ShapeID="_x0000_i1031" DrawAspect="Content" ObjectID="_1468075730" r:id="rId25">
                  <o:LockedField>false</o:LockedField>
                </o:OLEObject>
              </w:object>
            </w:r>
            <w:r>
              <w:rPr>
                <w:rFonts w:hint="eastAsia"/>
              </w:rPr>
              <w:object>
                <v:shape id="_x0000_i1032" o:spt="75" type="#_x0000_t75" style="height:151.5pt;width:205pt;" o:ole="t" filled="f" o:preferrelative="t" stroked="f" coordsize="21600,21600">
                  <v:path/>
                  <v:fill on="f" focussize="0,0"/>
                  <v:stroke on="f" joinstyle="miter"/>
                  <v:imagedata r:id="rId28" croptop="3576f" cropbottom="2149f" o:title=""/>
                  <o:lock v:ext="edit" aspectratio="t"/>
                  <w10:wrap type="none"/>
                  <w10:anchorlock/>
                </v:shape>
                <o:OLEObject Type="Embed" ProgID="Origin50.Graph" ShapeID="_x0000_i1032" DrawAspect="Content" ObjectID="_1468075731" r:id="rId27">
                  <o:LockedField>false</o:LockedField>
                </o:OLEObject>
              </w:object>
            </w:r>
          </w:p>
          <w:p>
            <w:pPr>
              <w:snapToGrid w:val="0"/>
              <w:spacing w:line="360" w:lineRule="auto"/>
              <w:ind w:firstLine="540" w:firstLineChars="300"/>
              <w:jc w:val="left"/>
              <w:rPr>
                <w:rFonts w:ascii="仿宋" w:hAnsi="仿宋" w:eastAsia="仿宋"/>
                <w:sz w:val="18"/>
                <w:szCs w:val="18"/>
              </w:rPr>
            </w:pPr>
            <w:r>
              <w:rPr>
                <w:rFonts w:hint="eastAsia" w:ascii="仿宋" w:hAnsi="仿宋" w:eastAsia="仿宋"/>
                <w:sz w:val="18"/>
                <w:szCs w:val="18"/>
              </w:rPr>
              <w:t>（</w:t>
            </w:r>
            <w:r>
              <w:rPr>
                <w:rFonts w:ascii="仿宋" w:hAnsi="仿宋" w:eastAsia="仿宋"/>
                <w:sz w:val="18"/>
                <w:szCs w:val="18"/>
              </w:rPr>
              <w:t>a</w:t>
            </w:r>
            <w:r>
              <w:rPr>
                <w:rFonts w:hint="eastAsia" w:ascii="仿宋" w:hAnsi="仿宋" w:eastAsia="仿宋"/>
                <w:sz w:val="18"/>
                <w:szCs w:val="18"/>
              </w:rPr>
              <w:t xml:space="preserve">）无机盐类添加物对光合细菌生物量的影响 </w:t>
            </w:r>
            <w:r>
              <w:rPr>
                <w:rFonts w:ascii="仿宋" w:hAnsi="仿宋" w:eastAsia="仿宋"/>
                <w:sz w:val="18"/>
                <w:szCs w:val="18"/>
              </w:rPr>
              <w:t xml:space="preserve">   (b)</w:t>
            </w:r>
            <w:r>
              <w:rPr>
                <w:rFonts w:hint="eastAsia" w:ascii="仿宋" w:hAnsi="仿宋" w:eastAsia="仿宋"/>
                <w:sz w:val="18"/>
                <w:szCs w:val="18"/>
              </w:rPr>
              <w:t xml:space="preserve"> 无机盐类添加物对制氢体系</w:t>
            </w:r>
            <w:r>
              <w:rPr>
                <w:rFonts w:ascii="仿宋" w:hAnsi="仿宋" w:eastAsia="仿宋"/>
                <w:sz w:val="18"/>
                <w:szCs w:val="18"/>
              </w:rPr>
              <w:t>pH</w:t>
            </w:r>
            <w:r>
              <w:rPr>
                <w:rFonts w:hint="eastAsia" w:ascii="仿宋" w:hAnsi="仿宋" w:eastAsia="仿宋"/>
                <w:sz w:val="18"/>
                <w:szCs w:val="18"/>
              </w:rPr>
              <w:t>值的影响</w:t>
            </w:r>
          </w:p>
          <w:p>
            <w:pPr>
              <w:snapToGrid w:val="0"/>
              <w:spacing w:line="360" w:lineRule="auto"/>
              <w:ind w:firstLine="540" w:firstLineChars="300"/>
              <w:jc w:val="center"/>
              <w:rPr>
                <w:rFonts w:ascii="仿宋" w:hAnsi="仿宋" w:eastAsia="仿宋"/>
                <w:sz w:val="24"/>
                <w:szCs w:val="24"/>
              </w:rPr>
            </w:pPr>
            <w:r>
              <w:rPr>
                <w:rFonts w:hint="eastAsia" w:eastAsia="宋体"/>
                <w:bCs/>
                <w:sz w:val="18"/>
                <w:szCs w:val="18"/>
              </w:rPr>
              <w:t>图1</w:t>
            </w:r>
            <w:r>
              <w:rPr>
                <w:rFonts w:eastAsia="宋体"/>
                <w:bCs/>
                <w:sz w:val="18"/>
                <w:szCs w:val="18"/>
              </w:rPr>
              <w:t xml:space="preserve">4  </w:t>
            </w:r>
            <w:r>
              <w:rPr>
                <w:rFonts w:hint="eastAsia" w:ascii="宋体" w:hAnsi="宋体" w:eastAsia="宋体"/>
                <w:sz w:val="18"/>
                <w:szCs w:val="18"/>
              </w:rPr>
              <w:t>无机盐类添加物对光合产氢体系传质的调控</w:t>
            </w:r>
          </w:p>
          <w:p>
            <w:pPr>
              <w:spacing w:line="360" w:lineRule="auto"/>
              <w:ind w:firstLine="480"/>
              <w:rPr>
                <w:rFonts w:hAnsi="宋体"/>
                <w:sz w:val="24"/>
              </w:rPr>
            </w:pPr>
            <w:r>
              <w:rPr>
                <w:rFonts w:hint="eastAsia" w:hAnsi="宋体"/>
                <w:sz w:val="24"/>
              </w:rPr>
              <w:t>（</w:t>
            </w:r>
            <w:r>
              <w:rPr>
                <w:rFonts w:hAnsi="宋体"/>
                <w:sz w:val="24"/>
              </w:rPr>
              <w:t>4</w:t>
            </w:r>
            <w:r>
              <w:rPr>
                <w:rFonts w:hint="eastAsia" w:hAnsi="宋体"/>
                <w:sz w:val="24"/>
              </w:rPr>
              <w:t>）</w:t>
            </w:r>
            <w:r>
              <w:rPr>
                <w:rFonts w:hint="eastAsia"/>
                <w:sz w:val="24"/>
              </w:rPr>
              <w:t>生物质秸秆粉光合生物产氢体系流场分布及工艺优化</w:t>
            </w:r>
          </w:p>
          <w:p>
            <w:pPr>
              <w:spacing w:line="360" w:lineRule="auto"/>
              <w:ind w:firstLine="480"/>
              <w:rPr>
                <w:rFonts w:ascii="仿宋" w:hAnsi="仿宋" w:eastAsia="仿宋"/>
                <w:sz w:val="24"/>
                <w:szCs w:val="24"/>
              </w:rPr>
            </w:pPr>
            <w:r>
              <w:rPr>
                <w:rFonts w:hint="eastAsia" w:ascii="仿宋" w:hAnsi="仿宋" w:eastAsia="仿宋"/>
                <w:sz w:val="24"/>
                <w:szCs w:val="24"/>
              </w:rPr>
              <w:t>测定了多相流超微生物质秸秆粉光合生物产氢体系的沉降稳定性和流变特性，分析了生物质秸秆粉微观结构与流变特性之间的关系，得到超微粉碎秸秆粉，颗粒粒径变小，增强了颗粒间的相互作用强度，降低了体系的流动性，使得超微秸秆产氢体系的相对粘度增大最快，体系浊度也一直处于最大水平如图1</w:t>
            </w:r>
            <w:r>
              <w:rPr>
                <w:rFonts w:ascii="仿宋" w:hAnsi="仿宋" w:eastAsia="仿宋"/>
                <w:sz w:val="24"/>
                <w:szCs w:val="24"/>
              </w:rPr>
              <w:t>5</w:t>
            </w:r>
            <w:r>
              <w:rPr>
                <w:rFonts w:hint="eastAsia" w:ascii="仿宋" w:hAnsi="仿宋" w:eastAsia="仿宋"/>
                <w:sz w:val="24"/>
                <w:szCs w:val="24"/>
              </w:rPr>
              <w:t>和1</w:t>
            </w:r>
            <w:r>
              <w:rPr>
                <w:rFonts w:ascii="仿宋" w:hAnsi="仿宋" w:eastAsia="仿宋"/>
                <w:sz w:val="24"/>
                <w:szCs w:val="24"/>
              </w:rPr>
              <w:t>6</w:t>
            </w:r>
            <w:r>
              <w:rPr>
                <w:rFonts w:hint="eastAsia" w:ascii="仿宋" w:hAnsi="仿宋" w:eastAsia="仿宋"/>
                <w:sz w:val="24"/>
                <w:szCs w:val="24"/>
              </w:rPr>
              <w:t>，超微处理有利于产氢反应的进行。</w:t>
            </w:r>
          </w:p>
          <w:p>
            <w:pPr>
              <w:tabs>
                <w:tab w:val="left" w:pos="2304"/>
              </w:tabs>
              <w:jc w:val="center"/>
              <w:rPr>
                <w:rFonts w:ascii="Times New Roman" w:hAnsi="Times New Roman" w:eastAsia="宋体"/>
                <w:color w:val="000000"/>
                <w:szCs w:val="21"/>
              </w:rPr>
            </w:pPr>
            <w:r>
              <w:rPr>
                <w:rFonts w:ascii="Times New Roman" w:hAnsi="Times New Roman" w:eastAsia="宋体"/>
                <w:szCs w:val="21"/>
              </w:rPr>
              <w:drawing>
                <wp:inline distT="0" distB="0" distL="0" distR="0">
                  <wp:extent cx="2789555" cy="1875155"/>
                  <wp:effectExtent l="0" t="0" r="0" b="0"/>
                  <wp:docPr id="82"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28"/>
                          <pic:cNvPicPr>
                            <a:picLocks noChangeAspect="1" noChangeArrowheads="1"/>
                          </pic:cNvPicPr>
                        </pic:nvPicPr>
                        <pic:blipFill>
                          <a:blip r:embed="rId29" cstate="print"/>
                          <a:srcRect/>
                          <a:stretch>
                            <a:fillRect/>
                          </a:stretch>
                        </pic:blipFill>
                        <pic:spPr>
                          <a:xfrm>
                            <a:off x="0" y="0"/>
                            <a:ext cx="2789555" cy="1875155"/>
                          </a:xfrm>
                          <a:prstGeom prst="rect">
                            <a:avLst/>
                          </a:prstGeom>
                          <a:noFill/>
                          <a:ln w="9525">
                            <a:noFill/>
                            <a:miter lim="800000"/>
                            <a:headEnd/>
                            <a:tailEnd/>
                          </a:ln>
                        </pic:spPr>
                      </pic:pic>
                    </a:graphicData>
                  </a:graphic>
                </wp:inline>
              </w:drawing>
            </w:r>
          </w:p>
          <w:p>
            <w:pPr>
              <w:tabs>
                <w:tab w:val="left" w:pos="2304"/>
              </w:tabs>
              <w:spacing w:line="276" w:lineRule="auto"/>
              <w:jc w:val="center"/>
              <w:rPr>
                <w:rFonts w:ascii="宋体" w:hAnsi="宋体" w:eastAsia="宋体"/>
                <w:sz w:val="18"/>
                <w:szCs w:val="18"/>
              </w:rPr>
            </w:pPr>
            <w:r>
              <w:rPr>
                <w:rFonts w:hint="eastAsia" w:ascii="宋体" w:hAnsi="宋体" w:eastAsia="宋体"/>
                <w:sz w:val="18"/>
                <w:szCs w:val="18"/>
              </w:rPr>
              <w:t>图</w:t>
            </w:r>
            <w:r>
              <w:rPr>
                <w:rFonts w:ascii="宋体" w:hAnsi="宋体" w:eastAsia="宋体"/>
                <w:sz w:val="18"/>
                <w:szCs w:val="18"/>
              </w:rPr>
              <w:t>15</w:t>
            </w:r>
            <w:r>
              <w:rPr>
                <w:rFonts w:hint="eastAsia" w:ascii="宋体" w:hAnsi="宋体" w:eastAsia="宋体"/>
                <w:sz w:val="18"/>
                <w:szCs w:val="18"/>
              </w:rPr>
              <w:t xml:space="preserve"> 动力粘度与粒径大小关系示意图</w:t>
            </w:r>
          </w:p>
          <w:p>
            <w:pPr>
              <w:spacing w:line="360" w:lineRule="auto"/>
              <w:ind w:firstLine="480"/>
              <w:jc w:val="center"/>
              <w:rPr>
                <w:rFonts w:ascii="仿宋" w:hAnsi="仿宋" w:eastAsia="仿宋"/>
                <w:sz w:val="24"/>
                <w:szCs w:val="24"/>
              </w:rPr>
            </w:pPr>
            <w:r>
              <w:rPr>
                <w:rFonts w:ascii="Times New Roman" w:hAnsi="Times New Roman"/>
              </w:rPr>
              <w:object>
                <v:shape id="_x0000_i1033" o:spt="75" type="#_x0000_t75" style="height:201pt;width:252.5pt;" o:ole="t" filled="f" o:preferrelative="t" stroked="f" coordsize="21600,21600">
                  <v:path/>
                  <v:fill on="f" focussize="0,0"/>
                  <v:stroke on="f" joinstyle="miter"/>
                  <v:imagedata r:id="rId31" cropleft="2354f" croptop="329f" cropright="2316f" o:title=""/>
                  <o:lock v:ext="edit" aspectratio="t"/>
                  <w10:wrap type="none"/>
                  <w10:anchorlock/>
                </v:shape>
                <o:OLEObject Type="Embed" ProgID="Origin50.Graph" ShapeID="_x0000_i1033" DrawAspect="Content" ObjectID="_1468075732" r:id="rId30">
                  <o:LockedField>false</o:LockedField>
                </o:OLEObject>
              </w:object>
            </w:r>
          </w:p>
          <w:p>
            <w:pPr>
              <w:tabs>
                <w:tab w:val="left" w:pos="2304"/>
              </w:tabs>
              <w:spacing w:line="276" w:lineRule="auto"/>
              <w:jc w:val="center"/>
              <w:rPr>
                <w:rFonts w:ascii="宋体" w:hAnsi="宋体" w:eastAsia="宋体"/>
                <w:sz w:val="18"/>
                <w:szCs w:val="18"/>
              </w:rPr>
            </w:pPr>
            <w:r>
              <w:rPr>
                <w:rFonts w:hint="eastAsia" w:ascii="宋体" w:hAnsi="宋体" w:eastAsia="宋体"/>
                <w:sz w:val="18"/>
                <w:szCs w:val="18"/>
              </w:rPr>
              <w:t>图</w:t>
            </w:r>
            <w:r>
              <w:rPr>
                <w:rFonts w:ascii="宋体" w:hAnsi="宋体" w:eastAsia="宋体"/>
                <w:sz w:val="18"/>
                <w:szCs w:val="18"/>
              </w:rPr>
              <w:t xml:space="preserve">16 </w:t>
            </w:r>
            <w:r>
              <w:rPr>
                <w:rFonts w:hint="eastAsia" w:ascii="宋体" w:hAnsi="宋体" w:eastAsia="宋体"/>
                <w:sz w:val="18"/>
                <w:szCs w:val="18"/>
              </w:rPr>
              <w:t>流变特性与产氢能力随时间的变化规律</w:t>
            </w:r>
          </w:p>
          <w:p>
            <w:pPr>
              <w:tabs>
                <w:tab w:val="left" w:pos="2304"/>
              </w:tabs>
              <w:spacing w:line="360" w:lineRule="auto"/>
              <w:ind w:firstLine="480" w:firstLineChars="200"/>
              <w:rPr>
                <w:rFonts w:ascii="Times New Roman" w:hAnsi="Times New Roman" w:eastAsia="宋体"/>
                <w:b/>
                <w:color w:val="000000"/>
                <w:sz w:val="24"/>
              </w:rPr>
            </w:pPr>
            <w:r>
              <w:rPr>
                <w:rFonts w:hint="eastAsia" w:ascii="仿宋" w:hAnsi="仿宋" w:eastAsia="仿宋"/>
                <w:sz w:val="24"/>
                <w:szCs w:val="24"/>
              </w:rPr>
              <w:t>利用FLUENT软件分析了折流板式连续流光合产氢反应器和升流式折流板光合产氢反应器受力流动对传质的影响，获得折流板式连续流光合产氢反应器有利于发酵产氢料液与光合细菌的充分接触，能加速碳氢化合物向光合细菌的传递，同时由于折流板的存在，也有效增加了生物固体的传质和截留能力。</w:t>
            </w:r>
          </w:p>
          <w:p>
            <w:pPr>
              <w:spacing w:line="360" w:lineRule="auto"/>
              <w:ind w:firstLine="480"/>
              <w:rPr>
                <w:rFonts w:ascii="仿宋" w:hAnsi="仿宋" w:eastAsia="仿宋"/>
                <w:sz w:val="24"/>
                <w:szCs w:val="24"/>
              </w:rPr>
            </w:pPr>
            <w:r>
              <w:rPr>
                <w:rFonts w:ascii="Times New Roman" w:hAnsi="Times New Roman"/>
              </w:rPr>
              <w:drawing>
                <wp:inline distT="0" distB="0" distL="0" distR="0">
                  <wp:extent cx="2430145" cy="1770380"/>
                  <wp:effectExtent l="0" t="0" r="8255" b="1270"/>
                  <wp:docPr id="4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5"/>
                          <pic:cNvPicPr>
                            <a:picLocks noChangeAspect="1" noChangeArrowheads="1"/>
                          </pic:cNvPicPr>
                        </pic:nvPicPr>
                        <pic:blipFill>
                          <a:blip r:embed="rId32" cstate="print"/>
                          <a:srcRect/>
                          <a:stretch>
                            <a:fillRect/>
                          </a:stretch>
                        </pic:blipFill>
                        <pic:spPr>
                          <a:xfrm>
                            <a:off x="0" y="0"/>
                            <a:ext cx="2451388" cy="1785460"/>
                          </a:xfrm>
                          <a:prstGeom prst="rect">
                            <a:avLst/>
                          </a:prstGeom>
                          <a:noFill/>
                          <a:ln w="9525">
                            <a:noFill/>
                            <a:miter lim="800000"/>
                            <a:headEnd/>
                            <a:tailEnd/>
                          </a:ln>
                        </pic:spPr>
                      </pic:pic>
                    </a:graphicData>
                  </a:graphic>
                </wp:inline>
              </w:drawing>
            </w:r>
            <w:r>
              <w:rPr>
                <w:rFonts w:ascii="Times New Roman" w:hAnsi="Times New Roman"/>
              </w:rPr>
              <w:drawing>
                <wp:inline distT="0" distB="0" distL="0" distR="0">
                  <wp:extent cx="2169795" cy="1684020"/>
                  <wp:effectExtent l="0" t="0" r="1905" b="0"/>
                  <wp:docPr id="77"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6"/>
                          <pic:cNvPicPr>
                            <a:picLocks noChangeAspect="1" noChangeArrowheads="1"/>
                          </pic:cNvPicPr>
                        </pic:nvPicPr>
                        <pic:blipFill>
                          <a:blip r:embed="rId33" cstate="print"/>
                          <a:srcRect/>
                          <a:stretch>
                            <a:fillRect/>
                          </a:stretch>
                        </pic:blipFill>
                        <pic:spPr>
                          <a:xfrm>
                            <a:off x="0" y="0"/>
                            <a:ext cx="2228293" cy="1729103"/>
                          </a:xfrm>
                          <a:prstGeom prst="rect">
                            <a:avLst/>
                          </a:prstGeom>
                          <a:noFill/>
                          <a:ln w="9525">
                            <a:noFill/>
                            <a:miter lim="800000"/>
                            <a:headEnd/>
                            <a:tailEnd/>
                          </a:ln>
                        </pic:spPr>
                      </pic:pic>
                    </a:graphicData>
                  </a:graphic>
                </wp:inline>
              </w:drawing>
            </w:r>
          </w:p>
          <w:p>
            <w:pPr>
              <w:spacing w:line="360" w:lineRule="auto"/>
              <w:ind w:firstLine="480"/>
              <w:jc w:val="center"/>
              <w:rPr>
                <w:rFonts w:ascii="仿宋" w:hAnsi="仿宋" w:eastAsia="仿宋"/>
                <w:sz w:val="18"/>
                <w:szCs w:val="18"/>
              </w:rPr>
            </w:pPr>
            <w:r>
              <w:rPr>
                <w:rFonts w:hint="eastAsia" w:ascii="仿宋" w:hAnsi="仿宋" w:eastAsia="仿宋"/>
                <w:sz w:val="18"/>
                <w:szCs w:val="18"/>
              </w:rPr>
              <w:t>（</w:t>
            </w:r>
            <w:r>
              <w:rPr>
                <w:rFonts w:ascii="仿宋" w:hAnsi="仿宋" w:eastAsia="仿宋"/>
                <w:sz w:val="18"/>
                <w:szCs w:val="18"/>
              </w:rPr>
              <w:t>a</w:t>
            </w:r>
            <w:r>
              <w:rPr>
                <w:rFonts w:hint="eastAsia" w:ascii="仿宋" w:hAnsi="仿宋" w:eastAsia="仿宋"/>
                <w:sz w:val="18"/>
                <w:szCs w:val="18"/>
              </w:rPr>
              <w:t xml:space="preserve">） 速度分布 </w:t>
            </w:r>
            <w:r>
              <w:rPr>
                <w:rFonts w:ascii="仿宋" w:hAnsi="仿宋" w:eastAsia="仿宋"/>
                <w:sz w:val="18"/>
                <w:szCs w:val="18"/>
              </w:rPr>
              <w:t xml:space="preserve">                      (b)</w:t>
            </w:r>
            <w:r>
              <w:rPr>
                <w:rFonts w:hint="eastAsia" w:ascii="仿宋" w:hAnsi="仿宋" w:eastAsia="仿宋"/>
                <w:sz w:val="18"/>
                <w:szCs w:val="18"/>
              </w:rPr>
              <w:t>浓度分布</w:t>
            </w:r>
          </w:p>
          <w:p>
            <w:pPr>
              <w:spacing w:line="360" w:lineRule="auto"/>
              <w:ind w:firstLine="480"/>
              <w:jc w:val="center"/>
              <w:rPr>
                <w:rFonts w:ascii="宋体" w:hAnsi="宋体" w:eastAsia="宋体"/>
                <w:sz w:val="18"/>
                <w:szCs w:val="18"/>
              </w:rPr>
            </w:pPr>
            <w:r>
              <w:rPr>
                <w:rFonts w:hint="eastAsia" w:ascii="宋体" w:hAnsi="宋体" w:eastAsia="宋体"/>
                <w:sz w:val="18"/>
                <w:szCs w:val="18"/>
              </w:rPr>
              <w:t>图</w:t>
            </w:r>
            <w:r>
              <w:rPr>
                <w:rFonts w:ascii="宋体" w:hAnsi="宋体" w:eastAsia="宋体"/>
                <w:sz w:val="18"/>
                <w:szCs w:val="18"/>
              </w:rPr>
              <w:t xml:space="preserve">17  </w:t>
            </w:r>
            <w:r>
              <w:rPr>
                <w:rFonts w:hint="eastAsia" w:ascii="宋体" w:hAnsi="宋体" w:eastAsia="宋体"/>
                <w:sz w:val="18"/>
                <w:szCs w:val="18"/>
              </w:rPr>
              <w:t>流场模拟分析</w:t>
            </w:r>
          </w:p>
          <w:p>
            <w:pPr>
              <w:tabs>
                <w:tab w:val="left" w:pos="2304"/>
              </w:tabs>
              <w:spacing w:line="360" w:lineRule="auto"/>
              <w:ind w:firstLine="480" w:firstLineChars="200"/>
              <w:rPr>
                <w:rFonts w:ascii="仿宋" w:hAnsi="仿宋" w:eastAsia="仿宋"/>
                <w:sz w:val="24"/>
                <w:szCs w:val="24"/>
              </w:rPr>
            </w:pPr>
            <w:r>
              <w:rPr>
                <w:rFonts w:hint="eastAsia" w:ascii="仿宋" w:hAnsi="仿宋" w:eastAsia="仿宋"/>
                <w:sz w:val="24"/>
                <w:szCs w:val="24"/>
              </w:rPr>
              <w:t>升流式折流板受力流动与传质分析显示，在反应器内部的流动除了折流板阻挡引起的推流等，同时还存在重力作用引起的重力沉降作用，一定程度上促进了产氢微生物与发酵产氢料液的接触，且更进一步增强了生物固体的截留能力。流板式光生化反应器无运动部件，无需机械混合装置、结构相对简单，总容积利用率高，且不易堵塞，操作运行简单。</w:t>
            </w:r>
          </w:p>
          <w:p>
            <w:pPr>
              <w:spacing w:line="360" w:lineRule="auto"/>
              <w:ind w:firstLine="480"/>
              <w:jc w:val="center"/>
              <w:rPr>
                <w:rFonts w:ascii="仿宋" w:hAnsi="仿宋" w:eastAsia="仿宋"/>
                <w:sz w:val="24"/>
                <w:szCs w:val="24"/>
              </w:rPr>
            </w:pPr>
            <w:r>
              <w:rPr>
                <w:rFonts w:ascii="Times New Roman" w:hAnsi="Times New Roman" w:eastAsia="宋体"/>
                <w:color w:val="000000"/>
                <w:szCs w:val="21"/>
              </w:rPr>
              <w:drawing>
                <wp:inline distT="0" distB="0" distL="114300" distR="114300">
                  <wp:extent cx="3252470" cy="2085975"/>
                  <wp:effectExtent l="19050" t="0" r="4844" b="0"/>
                  <wp:docPr id="11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38"/>
                          <pic:cNvPicPr>
                            <a:picLocks noChangeAspect="1"/>
                          </pic:cNvPicPr>
                        </pic:nvPicPr>
                        <pic:blipFill>
                          <a:blip r:embed="rId34" cstate="print"/>
                          <a:stretch>
                            <a:fillRect/>
                          </a:stretch>
                        </pic:blipFill>
                        <pic:spPr>
                          <a:xfrm>
                            <a:off x="0" y="0"/>
                            <a:ext cx="3256071" cy="2088133"/>
                          </a:xfrm>
                          <a:prstGeom prst="rect">
                            <a:avLst/>
                          </a:prstGeom>
                          <a:noFill/>
                          <a:ln w="9525">
                            <a:noFill/>
                          </a:ln>
                        </pic:spPr>
                      </pic:pic>
                    </a:graphicData>
                  </a:graphic>
                </wp:inline>
              </w:drawing>
            </w:r>
          </w:p>
          <w:p>
            <w:pPr>
              <w:spacing w:line="360" w:lineRule="auto"/>
              <w:ind w:firstLine="480"/>
              <w:jc w:val="center"/>
              <w:rPr>
                <w:rFonts w:ascii="宋体" w:hAnsi="宋体" w:eastAsia="宋体"/>
                <w:sz w:val="18"/>
                <w:szCs w:val="18"/>
              </w:rPr>
            </w:pPr>
            <w:r>
              <w:rPr>
                <w:rFonts w:hint="eastAsia" w:ascii="宋体" w:hAnsi="宋体" w:eastAsia="宋体"/>
                <w:sz w:val="18"/>
                <w:szCs w:val="18"/>
              </w:rPr>
              <w:t>图</w:t>
            </w:r>
            <w:r>
              <w:rPr>
                <w:rFonts w:ascii="宋体" w:hAnsi="宋体" w:eastAsia="宋体"/>
                <w:sz w:val="18"/>
                <w:szCs w:val="18"/>
              </w:rPr>
              <w:t>18</w:t>
            </w:r>
            <w:r>
              <w:rPr>
                <w:rFonts w:hint="eastAsia" w:ascii="宋体" w:hAnsi="宋体" w:eastAsia="宋体"/>
                <w:sz w:val="18"/>
                <w:szCs w:val="18"/>
              </w:rPr>
              <w:t xml:space="preserve"> 升流式折流板式光生化反应器</w:t>
            </w:r>
          </w:p>
          <w:p>
            <w:pPr>
              <w:spacing w:line="360" w:lineRule="auto"/>
              <w:ind w:firstLine="480"/>
              <w:rPr>
                <w:rFonts w:ascii="仿宋" w:hAnsi="仿宋" w:eastAsia="仿宋"/>
                <w:sz w:val="24"/>
                <w:szCs w:val="24"/>
              </w:rPr>
            </w:pPr>
            <w:r>
              <w:rPr>
                <w:rFonts w:hint="eastAsia" w:ascii="仿宋" w:hAnsi="仿宋" w:eastAsia="仿宋"/>
                <w:sz w:val="24"/>
                <w:szCs w:val="24"/>
              </w:rPr>
              <w:t>为了反映光能的有效利用程度，优化光照度工艺参数，分析了光能转化率与反应时间的关系，揭示反应开始时</w:t>
            </w:r>
            <w:r>
              <w:rPr>
                <w:rFonts w:ascii="仿宋" w:hAnsi="仿宋" w:eastAsia="仿宋"/>
                <w:sz w:val="24"/>
                <w:szCs w:val="24"/>
              </w:rPr>
              <w:t>光能转化率随反应时间的延</w:t>
            </w:r>
            <w:r>
              <w:rPr>
                <w:rFonts w:hint="eastAsia" w:ascii="仿宋" w:hAnsi="仿宋" w:eastAsia="仿宋"/>
                <w:sz w:val="24"/>
                <w:szCs w:val="24"/>
              </w:rPr>
              <w:t>长而增大，</w:t>
            </w:r>
            <w:r>
              <w:rPr>
                <w:rFonts w:ascii="仿宋" w:hAnsi="仿宋" w:eastAsia="仿宋"/>
                <w:sz w:val="24"/>
                <w:szCs w:val="24"/>
              </w:rPr>
              <w:t>当反应时间在72</w:t>
            </w:r>
            <w:r>
              <w:rPr>
                <w:rFonts w:hint="eastAsia" w:ascii="仿宋" w:hAnsi="仿宋" w:eastAsia="仿宋"/>
                <w:sz w:val="24"/>
                <w:szCs w:val="24"/>
              </w:rPr>
              <w:t>后</w:t>
            </w:r>
            <w:r>
              <w:rPr>
                <w:rFonts w:ascii="仿宋" w:hAnsi="仿宋" w:eastAsia="仿宋"/>
                <w:sz w:val="24"/>
                <w:szCs w:val="24"/>
              </w:rPr>
              <w:t>，光能转化率</w:t>
            </w:r>
            <w:r>
              <w:rPr>
                <w:rFonts w:hint="eastAsia" w:ascii="仿宋" w:hAnsi="仿宋" w:eastAsia="仿宋"/>
                <w:sz w:val="24"/>
                <w:szCs w:val="24"/>
              </w:rPr>
              <w:t>随反应时间的延长而减小，</w:t>
            </w:r>
            <w:r>
              <w:rPr>
                <w:rFonts w:ascii="仿宋" w:hAnsi="仿宋" w:eastAsia="仿宋"/>
                <w:sz w:val="24"/>
                <w:szCs w:val="24"/>
              </w:rPr>
              <w:t>最大光能转化率均出现</w:t>
            </w:r>
            <w:r>
              <w:rPr>
                <w:rFonts w:hint="eastAsia" w:ascii="仿宋" w:hAnsi="仿宋" w:eastAsia="仿宋"/>
                <w:sz w:val="24"/>
                <w:szCs w:val="24"/>
              </w:rPr>
              <w:t>在</w:t>
            </w:r>
            <w:r>
              <w:rPr>
                <w:rFonts w:ascii="仿宋" w:hAnsi="仿宋" w:eastAsia="仿宋"/>
                <w:sz w:val="24"/>
                <w:szCs w:val="24"/>
              </w:rPr>
              <w:t xml:space="preserve"> 72h附近</w:t>
            </w:r>
            <w:r>
              <w:rPr>
                <w:rFonts w:hint="eastAsia" w:ascii="仿宋" w:hAnsi="仿宋" w:eastAsia="仿宋"/>
                <w:sz w:val="24"/>
                <w:szCs w:val="24"/>
              </w:rPr>
              <w:t>，且</w:t>
            </w:r>
            <w:r>
              <w:rPr>
                <w:rFonts w:ascii="仿宋" w:hAnsi="仿宋" w:eastAsia="仿宋"/>
                <w:sz w:val="24"/>
                <w:szCs w:val="24"/>
              </w:rPr>
              <w:t>光照</w:t>
            </w:r>
            <w:r>
              <w:rPr>
                <w:rFonts w:hint="eastAsia" w:ascii="仿宋" w:hAnsi="仿宋" w:eastAsia="仿宋"/>
                <w:sz w:val="24"/>
                <w:szCs w:val="24"/>
              </w:rPr>
              <w:t>度较低时，由于光源供应能力小于光合细菌生长及代谢产氢能力，光合细菌对光的有效利用程度较高，</w:t>
            </w:r>
            <w:r>
              <w:rPr>
                <w:rFonts w:ascii="仿宋" w:hAnsi="仿宋" w:eastAsia="仿宋"/>
                <w:sz w:val="24"/>
                <w:szCs w:val="24"/>
              </w:rPr>
              <w:t>光能转化率最高约为42</w:t>
            </w:r>
            <w:r>
              <w:rPr>
                <w:rFonts w:hint="eastAsia" w:ascii="仿宋" w:hAnsi="仿宋" w:eastAsia="仿宋"/>
                <w:sz w:val="24"/>
                <w:szCs w:val="24"/>
              </w:rPr>
              <w:t>.</w:t>
            </w:r>
            <w:r>
              <w:rPr>
                <w:rFonts w:ascii="仿宋" w:hAnsi="仿宋" w:eastAsia="仿宋"/>
                <w:sz w:val="24"/>
                <w:szCs w:val="24"/>
              </w:rPr>
              <w:t>9%</w:t>
            </w:r>
            <w:r>
              <w:rPr>
                <w:rFonts w:hint="eastAsia" w:ascii="仿宋" w:hAnsi="仿宋" w:eastAsia="仿宋"/>
                <w:sz w:val="24"/>
                <w:szCs w:val="24"/>
              </w:rPr>
              <w:t>。</w:t>
            </w:r>
          </w:p>
          <w:p>
            <w:pPr>
              <w:spacing w:line="360" w:lineRule="auto"/>
              <w:ind w:firstLine="480"/>
              <w:jc w:val="center"/>
              <w:rPr>
                <w:rFonts w:ascii="仿宋" w:hAnsi="仿宋" w:eastAsia="仿宋"/>
                <w:sz w:val="24"/>
                <w:szCs w:val="24"/>
              </w:rPr>
            </w:pPr>
            <w:r>
              <w:drawing>
                <wp:inline distT="0" distB="0" distL="0" distR="0">
                  <wp:extent cx="2872105" cy="1816735"/>
                  <wp:effectExtent l="0" t="0" r="4445" b="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35" cstate="print"/>
                          <a:stretch>
                            <a:fillRect/>
                          </a:stretch>
                        </pic:blipFill>
                        <pic:spPr>
                          <a:xfrm>
                            <a:off x="0" y="0"/>
                            <a:ext cx="2893234" cy="1830414"/>
                          </a:xfrm>
                          <a:prstGeom prst="rect">
                            <a:avLst/>
                          </a:prstGeom>
                        </pic:spPr>
                      </pic:pic>
                    </a:graphicData>
                  </a:graphic>
                </wp:inline>
              </w:drawing>
            </w:r>
          </w:p>
          <w:p>
            <w:pPr>
              <w:spacing w:line="360" w:lineRule="auto"/>
              <w:ind w:firstLine="480"/>
              <w:jc w:val="center"/>
              <w:rPr>
                <w:rFonts w:ascii="宋体" w:hAnsi="宋体" w:eastAsia="宋体"/>
                <w:sz w:val="18"/>
                <w:szCs w:val="18"/>
              </w:rPr>
            </w:pPr>
            <w:r>
              <w:rPr>
                <w:rFonts w:hint="eastAsia" w:ascii="宋体" w:hAnsi="宋体" w:eastAsia="宋体"/>
                <w:sz w:val="18"/>
                <w:szCs w:val="18"/>
              </w:rPr>
              <w:t>图</w:t>
            </w:r>
            <w:r>
              <w:rPr>
                <w:rFonts w:ascii="宋体" w:hAnsi="宋体" w:eastAsia="宋体"/>
                <w:sz w:val="18"/>
                <w:szCs w:val="18"/>
              </w:rPr>
              <w:t xml:space="preserve"> 19 光能转化率与</w:t>
            </w:r>
            <w:r>
              <w:rPr>
                <w:rFonts w:hint="eastAsia" w:ascii="宋体" w:hAnsi="宋体" w:eastAsia="宋体"/>
                <w:sz w:val="18"/>
                <w:szCs w:val="18"/>
              </w:rPr>
              <w:t>产氢</w:t>
            </w:r>
            <w:r>
              <w:rPr>
                <w:rFonts w:ascii="宋体" w:hAnsi="宋体" w:eastAsia="宋体"/>
                <w:sz w:val="18"/>
                <w:szCs w:val="18"/>
              </w:rPr>
              <w:t>反应时间关系</w:t>
            </w:r>
          </w:p>
          <w:p>
            <w:pPr>
              <w:spacing w:line="360" w:lineRule="auto"/>
              <w:ind w:firstLine="480"/>
              <w:rPr>
                <w:rFonts w:ascii="仿宋" w:hAnsi="仿宋" w:eastAsia="仿宋"/>
                <w:sz w:val="24"/>
                <w:szCs w:val="24"/>
              </w:rPr>
            </w:pPr>
            <w:r>
              <w:rPr>
                <w:rFonts w:hint="eastAsia" w:ascii="仿宋" w:hAnsi="仿宋" w:eastAsia="仿宋"/>
                <w:sz w:val="24"/>
                <w:szCs w:val="24"/>
              </w:rPr>
              <w:t>将生物质秸秆</w:t>
            </w:r>
            <w:r>
              <w:rPr>
                <w:rFonts w:ascii="仿宋" w:hAnsi="仿宋" w:eastAsia="仿宋"/>
                <w:sz w:val="24"/>
                <w:szCs w:val="24"/>
              </w:rPr>
              <w:t>利用纤维素酶进行酶解糖化用于光合细菌生物制氢，考察了光合产氢过程中不同影响因素间交互作用的显著性，采用响应面法确定了秸秆酶解光合生物制氢的最优条件。</w:t>
            </w:r>
          </w:p>
          <w:p>
            <w:pPr>
              <w:spacing w:line="360" w:lineRule="auto"/>
              <w:ind w:firstLine="480"/>
              <w:jc w:val="center"/>
              <w:rPr>
                <w:rFonts w:ascii="仿宋" w:hAnsi="仿宋" w:eastAsia="仿宋"/>
                <w:sz w:val="24"/>
                <w:szCs w:val="24"/>
              </w:rPr>
            </w:pPr>
            <w:r>
              <w:rPr>
                <w:rFonts w:hint="eastAsia"/>
                <w:szCs w:val="21"/>
              </w:rPr>
              <w:drawing>
                <wp:inline distT="0" distB="0" distL="0" distR="0">
                  <wp:extent cx="4126230" cy="2204720"/>
                  <wp:effectExtent l="0" t="0" r="7620" b="5080"/>
                  <wp:docPr id="20" name="图片 20" descr="C:\Users\lcy\Desktop\最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lcy\Desktop\最优.jpg"/>
                          <pic:cNvPicPr>
                            <a:picLocks noChangeAspect="1" noChangeArrowheads="1"/>
                          </pic:cNvPicPr>
                        </pic:nvPicPr>
                        <pic:blipFill>
                          <a:blip r:embed="rId36" cstate="print">
                            <a:grayscl/>
                            <a:extLst>
                              <a:ext uri="{28A0092B-C50C-407E-A947-70E740481C1C}">
                                <a14:useLocalDpi xmlns:a14="http://schemas.microsoft.com/office/drawing/2010/main" val="0"/>
                              </a:ext>
                            </a:extLst>
                          </a:blip>
                          <a:srcRect/>
                          <a:stretch>
                            <a:fillRect/>
                          </a:stretch>
                        </pic:blipFill>
                        <pic:spPr>
                          <a:xfrm>
                            <a:off x="0" y="0"/>
                            <a:ext cx="4126230" cy="2204720"/>
                          </a:xfrm>
                          <a:prstGeom prst="rect">
                            <a:avLst/>
                          </a:prstGeom>
                          <a:noFill/>
                          <a:ln>
                            <a:noFill/>
                          </a:ln>
                        </pic:spPr>
                      </pic:pic>
                    </a:graphicData>
                  </a:graphic>
                </wp:inline>
              </w:drawing>
            </w:r>
          </w:p>
          <w:p>
            <w:pPr>
              <w:spacing w:line="360" w:lineRule="auto"/>
              <w:ind w:firstLine="480"/>
              <w:jc w:val="center"/>
              <w:rPr>
                <w:rFonts w:ascii="仿宋" w:hAnsi="仿宋" w:eastAsia="仿宋"/>
                <w:sz w:val="24"/>
                <w:szCs w:val="24"/>
              </w:rPr>
            </w:pPr>
            <w:r>
              <w:rPr>
                <w:rFonts w:hint="eastAsia" w:ascii="宋体" w:hAnsi="宋体" w:eastAsia="宋体"/>
                <w:sz w:val="18"/>
                <w:szCs w:val="18"/>
              </w:rPr>
              <w:t>图</w:t>
            </w:r>
            <w:r>
              <w:rPr>
                <w:rFonts w:ascii="宋体" w:hAnsi="宋体" w:eastAsia="宋体"/>
                <w:sz w:val="18"/>
                <w:szCs w:val="18"/>
              </w:rPr>
              <w:t>20 响应面法</w:t>
            </w:r>
            <w:r>
              <w:rPr>
                <w:rFonts w:hint="eastAsia" w:ascii="宋体" w:hAnsi="宋体" w:eastAsia="宋体"/>
                <w:sz w:val="18"/>
                <w:szCs w:val="18"/>
              </w:rPr>
              <w:t>优化</w:t>
            </w:r>
            <w:r>
              <w:rPr>
                <w:rFonts w:ascii="宋体" w:hAnsi="宋体" w:eastAsia="宋体"/>
                <w:sz w:val="18"/>
                <w:szCs w:val="18"/>
              </w:rPr>
              <w:t>秸秆制氢</w:t>
            </w:r>
          </w:p>
          <w:p>
            <w:pPr>
              <w:rPr>
                <w:sz w:val="24"/>
                <w:szCs w:val="24"/>
              </w:rPr>
            </w:pPr>
            <w:r>
              <w:rPr>
                <w:sz w:val="24"/>
                <w:szCs w:val="24"/>
              </w:rPr>
              <w:t>2.2.2特色及创新点</w:t>
            </w:r>
          </w:p>
          <w:p>
            <w:pPr>
              <w:spacing w:line="360" w:lineRule="auto"/>
              <w:ind w:firstLine="480" w:firstLineChars="200"/>
              <w:rPr>
                <w:rFonts w:ascii="Times New Roman" w:hAnsi="Times New Roman"/>
                <w:sz w:val="24"/>
              </w:rPr>
            </w:pPr>
            <w:r>
              <w:rPr>
                <w:rFonts w:hint="eastAsia" w:ascii="仿宋_GB2312"/>
                <w:sz w:val="24"/>
              </w:rPr>
              <w:t>（1）</w:t>
            </w:r>
            <w:r>
              <w:rPr>
                <w:rFonts w:hint="eastAsia" w:ascii="Times New Roman" w:hAnsi="Times New Roman"/>
                <w:sz w:val="24"/>
              </w:rPr>
              <w:t>测量分析了超微秸秆粉的微观结构和多尺度效应，揭示了超微秸秆粉多相流制氢过程的传质规律，获得了秸秆结构特征、水解糖化能力与底物消耗、细菌生长、氢气生成、副产物形成之间的相关关系，为秸秆生物制氢过程的传质强化奠定了基础。</w:t>
            </w:r>
          </w:p>
          <w:p>
            <w:pPr>
              <w:spacing w:line="360" w:lineRule="auto"/>
              <w:ind w:firstLine="480" w:firstLineChars="200"/>
              <w:rPr>
                <w:rFonts w:ascii="Times New Roman" w:hAnsi="Times New Roman"/>
                <w:sz w:val="24"/>
              </w:rPr>
            </w:pPr>
            <w:r>
              <w:rPr>
                <w:rFonts w:ascii="Times New Roman" w:hAnsi="Times New Roman"/>
                <w:sz w:val="24"/>
              </w:rPr>
              <w:t>（</w:t>
            </w:r>
            <w:r>
              <w:rPr>
                <w:rFonts w:hint="eastAsia" w:ascii="Times New Roman" w:hAnsi="Times New Roman"/>
                <w:sz w:val="24"/>
              </w:rPr>
              <w:t>2）分析了生物质秸秆粉结构与流变特性之间的关系，构建了超微生物质秸秆粉多相光合生物产氢体系的受力模型，揭示了流场分布规律对传质效果的影响，对</w:t>
            </w:r>
            <w:r>
              <w:rPr>
                <w:rFonts w:ascii="Times New Roman" w:hAnsi="Times New Roman"/>
                <w:sz w:val="24"/>
              </w:rPr>
              <w:t>促进农作物秸秆资源产业化发展具有指导作用。</w:t>
            </w:r>
          </w:p>
          <w:p>
            <w:pPr>
              <w:spacing w:line="360" w:lineRule="auto"/>
              <w:rPr>
                <w:sz w:val="24"/>
                <w:szCs w:val="24"/>
              </w:rPr>
            </w:pPr>
            <w:r>
              <w:rPr>
                <w:sz w:val="24"/>
                <w:szCs w:val="24"/>
              </w:rPr>
              <w:t>2.2.3主要学术价值和应用价值</w:t>
            </w:r>
          </w:p>
          <w:p>
            <w:pPr>
              <w:spacing w:line="360" w:lineRule="auto"/>
              <w:ind w:firstLine="480" w:firstLineChars="200"/>
              <w:rPr>
                <w:rFonts w:ascii="Times New Roman" w:hAnsi="Times New Roman"/>
                <w:sz w:val="24"/>
              </w:rPr>
            </w:pPr>
            <w:r>
              <w:rPr>
                <w:rFonts w:ascii="Times New Roman" w:hAnsi="Times New Roman"/>
                <w:sz w:val="24"/>
              </w:rPr>
              <w:t>（</w:t>
            </w:r>
            <w:r>
              <w:rPr>
                <w:rFonts w:hint="eastAsia" w:ascii="Times New Roman" w:hAnsi="Times New Roman"/>
                <w:sz w:val="24"/>
              </w:rPr>
              <w:t>1）以农业生物质秸秆为原料进行光合产氢，开发纤维素氢气，原料廉价、易得、量大，且对于补充我国能源的不足，保障国家能源战略安全具有重要的意义，同时为农业废弃物秸秆的能源化清洁利用提供了一条新途径。</w:t>
            </w:r>
          </w:p>
          <w:p>
            <w:pPr>
              <w:spacing w:line="360" w:lineRule="auto"/>
              <w:ind w:firstLine="480" w:firstLineChars="200"/>
              <w:rPr>
                <w:rFonts w:ascii="Times New Roman" w:hAnsi="Times New Roman"/>
                <w:sz w:val="24"/>
              </w:rPr>
            </w:pPr>
            <w:r>
              <w:rPr>
                <w:rFonts w:ascii="Times New Roman" w:hAnsi="Times New Roman"/>
                <w:sz w:val="24"/>
              </w:rPr>
              <w:t>（</w:t>
            </w:r>
            <w:r>
              <w:rPr>
                <w:rFonts w:hint="eastAsia" w:ascii="Times New Roman" w:hAnsi="Times New Roman"/>
                <w:sz w:val="24"/>
              </w:rPr>
              <w:t>2）对生物质秸秆粉光合产氢传质规律的研究，有助于进一步探明秸秆降解转化与氢气生产的内在联系，获得有效的强化传质机理和方法，同时减少秸秆水解纤维素酶的使用量，降低制氢成本，提高光合细菌产氢体系的产氢能力，完善太阳能光合生物制氢技术。</w:t>
            </w:r>
          </w:p>
          <w:p>
            <w:pPr>
              <w:spacing w:line="360" w:lineRule="auto"/>
              <w:ind w:firstLine="480" w:firstLineChars="200"/>
              <w:rPr>
                <w:rFonts w:ascii="Times New Roman" w:hAnsi="Times New Roman"/>
                <w:sz w:val="24"/>
              </w:rPr>
            </w:pPr>
            <w:r>
              <w:rPr>
                <w:rFonts w:ascii="Times New Roman" w:hAnsi="Times New Roman"/>
                <w:sz w:val="24"/>
              </w:rPr>
              <w:t>（3）秸秆焚烧，既污染了环境，又造成资源的大量浪费，引起了社会各界的关注。农作物秸秆生物制氢研究，能够有效减少农作物秸秆焚烧引起的环境污染问题，且氢能燃烧为水，热值又高，有助于优化资源利用，推动农业高质量发展、助力乡村振兴。</w:t>
            </w:r>
          </w:p>
          <w:p>
            <w:pPr>
              <w:spacing w:before="156" w:beforeLines="50" w:after="156" w:afterLines="50"/>
              <w:rPr>
                <w:b/>
                <w:sz w:val="24"/>
                <w:szCs w:val="24"/>
              </w:rPr>
            </w:pPr>
            <w:r>
              <w:rPr>
                <w:b/>
                <w:sz w:val="24"/>
                <w:szCs w:val="24"/>
              </w:rPr>
              <w:t>2.3在教学水平、科研能力、团队建设、社会服务等方面的完成情况</w:t>
            </w:r>
          </w:p>
          <w:p>
            <w:pPr>
              <w:spacing w:line="360" w:lineRule="auto"/>
              <w:ind w:firstLine="480" w:firstLineChars="200"/>
              <w:rPr>
                <w:rFonts w:ascii="Times New Roman" w:hAnsi="Times New Roman"/>
                <w:sz w:val="24"/>
              </w:rPr>
            </w:pPr>
            <w:r>
              <w:rPr>
                <w:rFonts w:hint="eastAsia" w:ascii="Times New Roman" w:hAnsi="Times New Roman"/>
                <w:sz w:val="24"/>
              </w:rPr>
              <w:t>（1）教学</w:t>
            </w:r>
            <w:r>
              <w:rPr>
                <w:rFonts w:ascii="Times New Roman" w:hAnsi="Times New Roman"/>
                <w:sz w:val="24"/>
              </w:rPr>
              <w:t>水平：完成学校安排的本科生《燃烧学》和《风能工程》及研究生课程《高等燃烧学》等的各项教学任务，获学校年度教学质量考核优秀2次；同时努力提高教育教学水平，</w:t>
            </w:r>
            <w:r>
              <w:rPr>
                <w:rFonts w:hint="eastAsia" w:ascii="Times New Roman" w:hAnsi="Times New Roman"/>
                <w:sz w:val="24"/>
              </w:rPr>
              <w:t>积极</w:t>
            </w:r>
            <w:r>
              <w:rPr>
                <w:rFonts w:ascii="Times New Roman" w:hAnsi="Times New Roman"/>
                <w:sz w:val="24"/>
              </w:rPr>
              <w:t>参加</w:t>
            </w:r>
            <w:r>
              <w:rPr>
                <w:rFonts w:hint="eastAsia" w:ascii="Times New Roman" w:hAnsi="Times New Roman"/>
                <w:sz w:val="24"/>
              </w:rPr>
              <w:t>教学改革活动，主持省级教育教学改革项目1</w:t>
            </w:r>
            <w:r>
              <w:rPr>
                <w:rFonts w:ascii="Times New Roman" w:hAnsi="Times New Roman"/>
                <w:sz w:val="24"/>
              </w:rPr>
              <w:t>项，承担省级和校级教研项目3项，发表教改论文</w:t>
            </w:r>
            <w:r>
              <w:rPr>
                <w:rFonts w:hint="eastAsia" w:ascii="Times New Roman" w:hAnsi="Times New Roman"/>
                <w:sz w:val="24"/>
              </w:rPr>
              <w:t>5</w:t>
            </w:r>
            <w:r>
              <w:rPr>
                <w:rFonts w:ascii="Times New Roman" w:hAnsi="Times New Roman"/>
                <w:sz w:val="24"/>
              </w:rPr>
              <w:t>篇；副主编教材1部</w:t>
            </w:r>
            <w:r>
              <w:rPr>
                <w:rFonts w:hint="eastAsia" w:ascii="Times New Roman" w:hAnsi="Times New Roman"/>
                <w:sz w:val="24"/>
              </w:rPr>
              <w:t>；</w:t>
            </w:r>
            <w:r>
              <w:rPr>
                <w:rFonts w:ascii="Times New Roman" w:hAnsi="Times New Roman"/>
                <w:sz w:val="24"/>
              </w:rPr>
              <w:t>第一名获省</w:t>
            </w:r>
            <w:r>
              <w:rPr>
                <w:rFonts w:hint="eastAsia" w:ascii="Times New Roman" w:hAnsi="Times New Roman"/>
                <w:sz w:val="24"/>
              </w:rPr>
              <w:t>高等教育教学成果二等奖1</w:t>
            </w:r>
            <w:r>
              <w:rPr>
                <w:rFonts w:ascii="Times New Roman" w:hAnsi="Times New Roman"/>
                <w:sz w:val="24"/>
              </w:rPr>
              <w:t>项，校级教学成果一等奖</w:t>
            </w:r>
            <w:r>
              <w:rPr>
                <w:rFonts w:hint="eastAsia" w:ascii="Times New Roman" w:hAnsi="Times New Roman"/>
                <w:sz w:val="24"/>
              </w:rPr>
              <w:t>1</w:t>
            </w:r>
            <w:r>
              <w:rPr>
                <w:rFonts w:ascii="Times New Roman" w:hAnsi="Times New Roman"/>
                <w:sz w:val="24"/>
              </w:rPr>
              <w:t>项。</w:t>
            </w:r>
          </w:p>
          <w:p>
            <w:pPr>
              <w:snapToGrid w:val="0"/>
              <w:spacing w:line="360" w:lineRule="auto"/>
              <w:ind w:firstLine="480" w:firstLineChars="200"/>
              <w:rPr>
                <w:rFonts w:ascii="Times New Roman" w:hAnsi="Times New Roman"/>
                <w:sz w:val="24"/>
              </w:rPr>
            </w:pPr>
            <w:r>
              <w:rPr>
                <w:rFonts w:hint="eastAsia" w:ascii="Times New Roman" w:hAnsi="Times New Roman"/>
                <w:sz w:val="24"/>
              </w:rPr>
              <w:t>（2）科研</w:t>
            </w:r>
            <w:r>
              <w:rPr>
                <w:rFonts w:ascii="Times New Roman" w:hAnsi="Times New Roman"/>
                <w:sz w:val="24"/>
              </w:rPr>
              <w:t>能力：追踪农业工程学科前沿，在农业废弃物能源转化研究方面取得积极进展，科研能力切实提高；发表标注青年骨干教师项目资助科研论文8篇（其中</w:t>
            </w:r>
            <w:r>
              <w:rPr>
                <w:rFonts w:hint="eastAsia" w:ascii="Times New Roman" w:hAnsi="Times New Roman"/>
                <w:sz w:val="24"/>
              </w:rPr>
              <w:t>S</w:t>
            </w:r>
            <w:r>
              <w:rPr>
                <w:rFonts w:ascii="Times New Roman" w:hAnsi="Times New Roman"/>
                <w:sz w:val="24"/>
              </w:rPr>
              <w:t>CI论文6篇，标注资助的第一作者科研论文</w:t>
            </w:r>
            <w:r>
              <w:rPr>
                <w:rFonts w:hint="eastAsia" w:ascii="Times New Roman" w:hAnsi="Times New Roman"/>
                <w:sz w:val="24"/>
              </w:rPr>
              <w:t>3</w:t>
            </w:r>
            <w:r>
              <w:rPr>
                <w:rFonts w:ascii="Times New Roman" w:hAnsi="Times New Roman"/>
                <w:sz w:val="24"/>
              </w:rPr>
              <w:t>篇）</w:t>
            </w:r>
            <w:r>
              <w:rPr>
                <w:rFonts w:hint="eastAsia" w:ascii="Times New Roman" w:hAnsi="Times New Roman"/>
                <w:sz w:val="24"/>
              </w:rPr>
              <w:t>；</w:t>
            </w:r>
            <w:r>
              <w:rPr>
                <w:rFonts w:ascii="Times New Roman" w:hAnsi="Times New Roman"/>
                <w:sz w:val="24"/>
              </w:rPr>
              <w:t>主持参与科研项目8项</w:t>
            </w:r>
            <w:r>
              <w:rPr>
                <w:rFonts w:hint="eastAsia" w:ascii="Times New Roman" w:hAnsi="Times New Roman"/>
                <w:sz w:val="24"/>
              </w:rPr>
              <w:t>，获批具有团队里程碑标志的唯一一项国际合作重点专项</w:t>
            </w:r>
            <w:r>
              <w:rPr>
                <w:rFonts w:ascii="Times New Roman" w:hAnsi="Times New Roman"/>
                <w:sz w:val="24"/>
              </w:rPr>
              <w:t>；授权发明专利和计算机软件著作权</w:t>
            </w:r>
            <w:r>
              <w:rPr>
                <w:rFonts w:hint="eastAsia" w:ascii="Times New Roman" w:hAnsi="Times New Roman"/>
                <w:sz w:val="24"/>
              </w:rPr>
              <w:t>7</w:t>
            </w:r>
            <w:r>
              <w:rPr>
                <w:rFonts w:ascii="Times New Roman" w:hAnsi="Times New Roman"/>
                <w:sz w:val="24"/>
              </w:rPr>
              <w:t>项；获</w:t>
            </w:r>
            <w:r>
              <w:rPr>
                <w:rFonts w:hint="eastAsia" w:ascii="Times New Roman" w:hAnsi="Times New Roman"/>
                <w:sz w:val="24"/>
              </w:rPr>
              <w:t>河南省科技进步一等奖1</w:t>
            </w:r>
            <w:r>
              <w:rPr>
                <w:rFonts w:ascii="Times New Roman" w:hAnsi="Times New Roman"/>
                <w:sz w:val="24"/>
              </w:rPr>
              <w:t>项，河南省教育厅科技成果</w:t>
            </w:r>
            <w:r>
              <w:rPr>
                <w:rFonts w:hint="eastAsia" w:ascii="Times New Roman" w:hAnsi="Times New Roman"/>
                <w:sz w:val="24"/>
              </w:rPr>
              <w:t>一</w:t>
            </w:r>
            <w:r>
              <w:rPr>
                <w:rFonts w:ascii="Times New Roman" w:hAnsi="Times New Roman"/>
                <w:sz w:val="24"/>
              </w:rPr>
              <w:t>等奖1项，</w:t>
            </w:r>
            <w:r>
              <w:rPr>
                <w:rFonts w:hint="eastAsia" w:ascii="Times New Roman" w:hAnsi="Times New Roman"/>
                <w:sz w:val="24"/>
              </w:rPr>
              <w:t>中国可再生能源学会科技进步三等奖1</w:t>
            </w:r>
            <w:r>
              <w:rPr>
                <w:rFonts w:ascii="Times New Roman" w:hAnsi="Times New Roman"/>
                <w:sz w:val="24"/>
              </w:rPr>
              <w:t>项</w:t>
            </w:r>
            <w:r>
              <w:rPr>
                <w:rFonts w:hint="eastAsia" w:ascii="Times New Roman" w:hAnsi="Times New Roman"/>
                <w:sz w:val="24"/>
              </w:rPr>
              <w:t>；3项成果通过相关机构科学技术评价，成果评价为国内领先或国际先进。</w:t>
            </w:r>
          </w:p>
          <w:p>
            <w:pPr>
              <w:snapToGrid w:val="0"/>
              <w:spacing w:line="360" w:lineRule="auto"/>
              <w:ind w:firstLine="480" w:firstLineChars="200"/>
              <w:rPr>
                <w:rFonts w:ascii="Times New Roman" w:hAnsi="Times New Roman"/>
                <w:sz w:val="24"/>
              </w:rPr>
            </w:pPr>
            <w:r>
              <w:rPr>
                <w:rFonts w:ascii="Times New Roman" w:hAnsi="Times New Roman"/>
                <w:sz w:val="24"/>
              </w:rPr>
              <w:t>（</w:t>
            </w:r>
            <w:r>
              <w:rPr>
                <w:rFonts w:hint="eastAsia" w:ascii="Times New Roman" w:hAnsi="Times New Roman"/>
                <w:sz w:val="24"/>
              </w:rPr>
              <w:t>3</w:t>
            </w:r>
            <w:r>
              <w:rPr>
                <w:rFonts w:ascii="Times New Roman" w:hAnsi="Times New Roman"/>
                <w:sz w:val="24"/>
              </w:rPr>
              <w:t>）</w:t>
            </w:r>
            <w:r>
              <w:rPr>
                <w:rFonts w:hint="eastAsia" w:ascii="Times New Roman" w:hAnsi="Times New Roman"/>
                <w:sz w:val="24"/>
              </w:rPr>
              <w:t>团队</w:t>
            </w:r>
            <w:r>
              <w:rPr>
                <w:rFonts w:ascii="Times New Roman" w:hAnsi="Times New Roman"/>
                <w:sz w:val="24"/>
              </w:rPr>
              <w:t>建设</w:t>
            </w:r>
            <w:r>
              <w:rPr>
                <w:rFonts w:hint="eastAsia" w:ascii="Times New Roman" w:hAnsi="Times New Roman"/>
                <w:sz w:val="24"/>
              </w:rPr>
              <w:t>：</w:t>
            </w:r>
            <w:r>
              <w:rPr>
                <w:rFonts w:ascii="Times New Roman" w:hAnsi="Times New Roman"/>
                <w:sz w:val="24"/>
              </w:rPr>
              <w:t>积极参与省科技厅</w:t>
            </w:r>
            <w:r>
              <w:rPr>
                <w:rFonts w:hint="eastAsia" w:ascii="Times New Roman" w:hAnsi="Times New Roman"/>
                <w:sz w:val="24"/>
              </w:rPr>
              <w:t>可再生能源</w:t>
            </w:r>
            <w:r>
              <w:rPr>
                <w:rFonts w:ascii="Times New Roman" w:hAnsi="Times New Roman"/>
                <w:sz w:val="24"/>
              </w:rPr>
              <w:t>科研团队建设，围绕团队研究方向展开工作；本人指导省级大学生创新训练项目1项，团队其他成员指导校级大学生创新训练项目</w:t>
            </w:r>
            <w:r>
              <w:rPr>
                <w:rFonts w:hint="eastAsia" w:ascii="Times New Roman" w:hAnsi="Times New Roman"/>
                <w:sz w:val="24"/>
              </w:rPr>
              <w:t>1</w:t>
            </w:r>
            <w:r>
              <w:rPr>
                <w:rFonts w:ascii="Times New Roman" w:hAnsi="Times New Roman"/>
                <w:sz w:val="24"/>
              </w:rPr>
              <w:t>项；本人指导学生参加</w:t>
            </w:r>
            <w:r>
              <w:rPr>
                <w:rFonts w:hint="eastAsia" w:ascii="Times New Roman" w:hAnsi="Times New Roman"/>
                <w:sz w:val="24"/>
              </w:rPr>
              <w:t>杭能杯中国沼气学会征文大赛获得二等奖，其他成员指导学生参加教育部高等学校农业工程类相关专业创新竞赛获得特等奖,参加全国可再生能源科技竞赛获得二等奖，</w:t>
            </w:r>
            <w:r>
              <w:rPr>
                <w:rFonts w:ascii="Times New Roman" w:hAnsi="Times New Roman"/>
                <w:sz w:val="24"/>
              </w:rPr>
              <w:t>参加“挑战杯”大学生课外学术科技作品竞赛获得三等奖；</w:t>
            </w:r>
            <w:r>
              <w:rPr>
                <w:rFonts w:hint="eastAsia" w:ascii="Times New Roman" w:hAnsi="Times New Roman"/>
                <w:sz w:val="24"/>
              </w:rPr>
              <w:t>团队</w:t>
            </w:r>
            <w:r>
              <w:rPr>
                <w:rFonts w:ascii="Times New Roman" w:hAnsi="Times New Roman"/>
                <w:sz w:val="24"/>
              </w:rPr>
              <w:t>研究人员配合</w:t>
            </w:r>
            <w:r>
              <w:rPr>
                <w:rFonts w:hint="eastAsia" w:ascii="Times New Roman" w:hAnsi="Times New Roman"/>
                <w:sz w:val="24"/>
              </w:rPr>
              <w:t>默契，团队运行稳定，并与2</w:t>
            </w:r>
            <w:r>
              <w:rPr>
                <w:rFonts w:ascii="Times New Roman" w:hAnsi="Times New Roman"/>
                <w:sz w:val="24"/>
              </w:rPr>
              <w:t>020年获得省高校科技创新团队支持计划资助。</w:t>
            </w:r>
          </w:p>
          <w:p>
            <w:pPr>
              <w:spacing w:line="360" w:lineRule="auto"/>
              <w:ind w:firstLine="480" w:firstLineChars="200"/>
            </w:pPr>
            <w:r>
              <w:rPr>
                <w:rFonts w:ascii="Times New Roman" w:hAnsi="Times New Roman"/>
                <w:sz w:val="24"/>
              </w:rPr>
              <w:t>（</w:t>
            </w:r>
            <w:r>
              <w:rPr>
                <w:rFonts w:hint="eastAsia" w:ascii="Times New Roman" w:hAnsi="Times New Roman"/>
                <w:sz w:val="24"/>
              </w:rPr>
              <w:t>4</w:t>
            </w:r>
            <w:r>
              <w:rPr>
                <w:rFonts w:ascii="Times New Roman" w:hAnsi="Times New Roman"/>
                <w:sz w:val="24"/>
              </w:rPr>
              <w:t>）</w:t>
            </w:r>
            <w:r>
              <w:rPr>
                <w:rFonts w:hint="eastAsia" w:ascii="Times New Roman" w:hAnsi="Times New Roman"/>
                <w:sz w:val="24"/>
              </w:rPr>
              <w:t>社会</w:t>
            </w:r>
            <w:r>
              <w:rPr>
                <w:rFonts w:ascii="Times New Roman" w:hAnsi="Times New Roman"/>
                <w:sz w:val="24"/>
              </w:rPr>
              <w:t>服务等：为河南省相关领域的决策提供咨询，积极开展相关领域的社会服务</w:t>
            </w:r>
            <w:r>
              <w:rPr>
                <w:rFonts w:hint="eastAsia" w:ascii="Times New Roman" w:hAnsi="Times New Roman"/>
                <w:sz w:val="24"/>
              </w:rPr>
              <w:t>；在2019年举办了“国际生物过程学会第四届学术会议”，</w:t>
            </w:r>
            <w:r>
              <w:rPr>
                <w:rFonts w:ascii="Times New Roman" w:hAnsi="Times New Roman"/>
                <w:sz w:val="24"/>
              </w:rPr>
              <w:t>扩大了</w:t>
            </w:r>
            <w:r>
              <w:rPr>
                <w:rFonts w:hint="eastAsia" w:ascii="Times New Roman" w:hAnsi="Times New Roman"/>
                <w:sz w:val="24"/>
              </w:rPr>
              <w:t>团队</w:t>
            </w:r>
            <w:r>
              <w:rPr>
                <w:rFonts w:ascii="Times New Roman" w:hAnsi="Times New Roman"/>
                <w:sz w:val="24"/>
              </w:rPr>
              <w:t>在生物质可持续利用方面的国际影响力</w:t>
            </w:r>
            <w:r>
              <w:rPr>
                <w:rFonts w:hint="eastAsia" w:ascii="Times New Roman" w:hAnsi="Times New Roman"/>
                <w:sz w:val="24"/>
              </w:rPr>
              <w:t>；多年来坚持产学研相结合，以服务行业为宗旨，将所开发技术应用于实际，取得了一定的社会效益和经济效益。</w:t>
            </w:r>
          </w:p>
          <w:p>
            <w:pPr>
              <w:spacing w:before="156" w:beforeLines="50" w:after="156" w:afterLines="50"/>
              <w:rPr>
                <w:b/>
                <w:sz w:val="24"/>
                <w:szCs w:val="24"/>
              </w:rPr>
            </w:pPr>
            <w:r>
              <w:rPr>
                <w:b/>
                <w:sz w:val="24"/>
                <w:szCs w:val="24"/>
              </w:rPr>
              <w:t>2.4不足之处及努力方向</w:t>
            </w:r>
          </w:p>
          <w:p>
            <w:pPr>
              <w:snapToGrid w:val="0"/>
              <w:spacing w:line="360" w:lineRule="auto"/>
              <w:ind w:firstLine="493"/>
              <w:contextualSpacing/>
              <w:rPr>
                <w:sz w:val="24"/>
                <w:szCs w:val="24"/>
              </w:rPr>
            </w:pPr>
            <w:bookmarkStart w:id="2" w:name="OLE_LINK7"/>
            <w:bookmarkStart w:id="3" w:name="OLE_LINK8"/>
            <w:r>
              <w:rPr>
                <w:rFonts w:hint="eastAsia"/>
                <w:sz w:val="24"/>
                <w:szCs w:val="24"/>
              </w:rPr>
              <w:t>（1）</w:t>
            </w:r>
            <w:r>
              <w:rPr>
                <w:sz w:val="24"/>
                <w:szCs w:val="24"/>
              </w:rPr>
              <w:t>项目执行期间虽然取得了一定的</w:t>
            </w:r>
            <w:r>
              <w:rPr>
                <w:rFonts w:hint="eastAsia"/>
                <w:sz w:val="24"/>
                <w:szCs w:val="24"/>
              </w:rPr>
              <w:t>成果</w:t>
            </w:r>
            <w:r>
              <w:rPr>
                <w:sz w:val="24"/>
                <w:szCs w:val="24"/>
              </w:rPr>
              <w:t>，但这些</w:t>
            </w:r>
            <w:r>
              <w:rPr>
                <w:rFonts w:hint="eastAsia"/>
                <w:sz w:val="24"/>
                <w:szCs w:val="24"/>
              </w:rPr>
              <w:t>成果</w:t>
            </w:r>
            <w:r>
              <w:rPr>
                <w:sz w:val="24"/>
                <w:szCs w:val="24"/>
              </w:rPr>
              <w:t>大部分仍停留在实验室研发阶段，</w:t>
            </w:r>
            <w:r>
              <w:rPr>
                <w:rFonts w:hint="eastAsia"/>
                <w:sz w:val="24"/>
                <w:szCs w:val="24"/>
              </w:rPr>
              <w:t>后期</w:t>
            </w:r>
            <w:r>
              <w:rPr>
                <w:sz w:val="24"/>
                <w:szCs w:val="24"/>
              </w:rPr>
              <w:t>将本项目的研究成果更好</w:t>
            </w:r>
            <w:r>
              <w:rPr>
                <w:rFonts w:hint="eastAsia"/>
                <w:sz w:val="24"/>
                <w:szCs w:val="24"/>
              </w:rPr>
              <w:t>的</w:t>
            </w:r>
            <w:r>
              <w:rPr>
                <w:sz w:val="24"/>
                <w:szCs w:val="24"/>
              </w:rPr>
              <w:t>应用于</w:t>
            </w:r>
            <w:r>
              <w:rPr>
                <w:rFonts w:hint="eastAsia"/>
                <w:sz w:val="24"/>
                <w:szCs w:val="24"/>
              </w:rPr>
              <w:t>废弃物资源化</w:t>
            </w:r>
            <w:r>
              <w:rPr>
                <w:sz w:val="24"/>
                <w:szCs w:val="24"/>
              </w:rPr>
              <w:t>开发</w:t>
            </w:r>
            <w:r>
              <w:rPr>
                <w:rFonts w:hint="eastAsia"/>
                <w:sz w:val="24"/>
                <w:szCs w:val="24"/>
              </w:rPr>
              <w:t>、</w:t>
            </w:r>
            <w:r>
              <w:rPr>
                <w:sz w:val="24"/>
                <w:szCs w:val="24"/>
              </w:rPr>
              <w:t>美丽乡村发展建设，将是今后的努力方向。</w:t>
            </w:r>
            <w:bookmarkEnd w:id="2"/>
            <w:bookmarkEnd w:id="3"/>
          </w:p>
          <w:p>
            <w:pPr>
              <w:snapToGrid w:val="0"/>
              <w:spacing w:line="360" w:lineRule="auto"/>
              <w:ind w:firstLine="493"/>
              <w:contextualSpacing/>
              <w:rPr>
                <w:sz w:val="24"/>
                <w:szCs w:val="24"/>
              </w:rPr>
            </w:pPr>
            <w:r>
              <w:rPr>
                <w:rFonts w:hint="eastAsia"/>
                <w:sz w:val="24"/>
                <w:szCs w:val="24"/>
              </w:rPr>
              <w:t>（2）对于农作物秸秆生物制氢传质强化机理问题，结合可持续发展理论和秸秆制氢传质特点等进行深入研究，努力获批国家自然科学基金1项。</w:t>
            </w:r>
          </w:p>
          <w:p>
            <w:pPr>
              <w:ind w:firstLine="480"/>
              <w:rPr>
                <w:rFonts w:ascii="仿宋_GB2312"/>
                <w:sz w:val="24"/>
              </w:rPr>
            </w:pPr>
          </w:p>
          <w:p>
            <w:pPr>
              <w:ind w:firstLine="480"/>
              <w:rPr>
                <w:rFonts w:ascii="仿宋_GB2312"/>
                <w:sz w:val="24"/>
              </w:rPr>
            </w:pPr>
          </w:p>
          <w:p>
            <w:pPr>
              <w:ind w:firstLine="480"/>
              <w:rPr>
                <w:rFonts w:ascii="仿宋_GB2312"/>
                <w:sz w:val="24"/>
              </w:rPr>
            </w:pPr>
          </w:p>
          <w:p>
            <w:pPr>
              <w:ind w:firstLine="480"/>
              <w:rPr>
                <w:rFonts w:ascii="仿宋_GB2312"/>
                <w:sz w:val="24"/>
              </w:rPr>
            </w:pPr>
          </w:p>
          <w:p>
            <w:pPr>
              <w:ind w:firstLine="480"/>
              <w:rPr>
                <w:rFonts w:ascii="仿宋_GB2312"/>
                <w:sz w:val="24"/>
              </w:rPr>
            </w:pPr>
          </w:p>
          <w:p>
            <w:pPr>
              <w:ind w:firstLine="480"/>
              <w:rPr>
                <w:rFonts w:ascii="仿宋_GB2312"/>
                <w:sz w:val="24"/>
              </w:rPr>
            </w:pPr>
          </w:p>
          <w:p>
            <w:pPr>
              <w:ind w:firstLine="480"/>
              <w:rPr>
                <w:rFonts w:ascii="仿宋_GB2312"/>
                <w:sz w:val="24"/>
              </w:rPr>
            </w:pPr>
          </w:p>
          <w:p>
            <w:pPr>
              <w:ind w:firstLine="480"/>
              <w:rPr>
                <w:rFonts w:ascii="仿宋_GB2312"/>
                <w:sz w:val="24"/>
              </w:rPr>
            </w:pPr>
          </w:p>
          <w:p>
            <w:pPr>
              <w:ind w:firstLine="480"/>
              <w:rPr>
                <w:rFonts w:ascii="仿宋_GB2312"/>
                <w:sz w:val="24"/>
              </w:rPr>
            </w:pPr>
          </w:p>
          <w:p>
            <w:pPr>
              <w:ind w:firstLine="480"/>
              <w:rPr>
                <w:rFonts w:ascii="仿宋_GB2312"/>
                <w:sz w:val="24"/>
              </w:rPr>
            </w:pPr>
          </w:p>
          <w:p>
            <w:pPr>
              <w:ind w:firstLine="480"/>
              <w:rPr>
                <w:rFonts w:ascii="仿宋_GB2312"/>
                <w:sz w:val="24"/>
              </w:rPr>
            </w:pPr>
          </w:p>
          <w:p>
            <w:pPr>
              <w:ind w:firstLine="480"/>
              <w:rPr>
                <w:rFonts w:ascii="仿宋_GB2312"/>
                <w:sz w:val="24"/>
              </w:rPr>
            </w:pPr>
          </w:p>
          <w:p>
            <w:pPr>
              <w:rPr>
                <w:rFonts w:ascii="仿宋_GB2312"/>
                <w:sz w:val="24"/>
              </w:rPr>
            </w:pPr>
          </w:p>
          <w:p>
            <w:pPr>
              <w:ind w:firstLine="480"/>
              <w:rPr>
                <w:rFonts w:ascii="仿宋_GB2312"/>
                <w:sz w:val="24"/>
              </w:rPr>
            </w:pPr>
          </w:p>
          <w:p>
            <w:pPr>
              <w:ind w:firstLine="480"/>
              <w:rPr>
                <w:rFonts w:ascii="仿宋_GB2312"/>
                <w:sz w:val="24"/>
              </w:rPr>
            </w:pPr>
          </w:p>
          <w:p>
            <w:pPr>
              <w:ind w:firstLine="480"/>
              <w:rPr>
                <w:rFonts w:ascii="仿宋_GB2312"/>
                <w:sz w:val="24"/>
              </w:rPr>
            </w:pPr>
          </w:p>
          <w:p>
            <w:pPr>
              <w:rPr>
                <w:rFonts w:ascii="仿宋_GB2312"/>
                <w:sz w:val="24"/>
              </w:rPr>
            </w:pPr>
          </w:p>
          <w:p>
            <w:pPr>
              <w:ind w:firstLine="480"/>
              <w:rPr>
                <w:rFonts w:ascii="仿宋_GB2312"/>
                <w:sz w:val="24"/>
              </w:rPr>
            </w:pPr>
          </w:p>
          <w:p>
            <w:pPr>
              <w:ind w:firstLine="480"/>
              <w:rPr>
                <w:rFonts w:ascii="仿宋_GB2312"/>
                <w:sz w:val="24"/>
              </w:rPr>
            </w:pPr>
          </w:p>
          <w:p>
            <w:pPr>
              <w:ind w:firstLine="480"/>
              <w:rPr>
                <w:rFonts w:ascii="仿宋_GB2312"/>
                <w:sz w:val="24"/>
              </w:rPr>
            </w:pPr>
          </w:p>
          <w:p>
            <w:pPr>
              <w:ind w:firstLine="480"/>
              <w:rPr>
                <w:rFonts w:ascii="仿宋_GB2312"/>
                <w:sz w:val="24"/>
              </w:rPr>
            </w:pPr>
          </w:p>
          <w:p>
            <w:pPr>
              <w:ind w:firstLine="480"/>
              <w:rPr>
                <w:rFonts w:ascii="仿宋_GB2312"/>
                <w:sz w:val="24"/>
              </w:rPr>
            </w:pPr>
          </w:p>
          <w:p>
            <w:pPr>
              <w:ind w:firstLine="480"/>
              <w:rPr>
                <w:rFonts w:ascii="仿宋_GB2312"/>
                <w:sz w:val="24"/>
              </w:rPr>
            </w:pPr>
            <w:r>
              <w:rPr>
                <w:rFonts w:hint="eastAsia" w:ascii="仿宋_GB2312"/>
                <w:sz w:val="24"/>
              </w:rPr>
              <w:t>培养对象签字：</w:t>
            </w:r>
          </w:p>
          <w:p>
            <w:pPr>
              <w:ind w:firstLine="4226"/>
              <w:rPr>
                <w:rFonts w:ascii="仿宋_GB2312"/>
                <w:sz w:val="24"/>
              </w:rPr>
            </w:pPr>
          </w:p>
          <w:p>
            <w:pPr>
              <w:ind w:firstLine="480"/>
              <w:rPr>
                <w:rFonts w:ascii="仿宋_GB2312"/>
                <w:sz w:val="24"/>
              </w:rPr>
            </w:pPr>
            <w:r>
              <w:rPr>
                <w:rFonts w:hint="eastAsia" w:ascii="仿宋_GB2312"/>
                <w:sz w:val="24"/>
              </w:rPr>
              <w:t>　　　　　　　　　　　　　　　　　　　　　　年　　月　　日</w:t>
            </w:r>
          </w:p>
          <w:p>
            <w:pPr>
              <w:rPr>
                <w:rFonts w:ascii="仿宋_GB2312"/>
                <w:sz w:val="24"/>
              </w:rPr>
            </w:pPr>
          </w:p>
          <w:p>
            <w:pPr>
              <w:rPr>
                <w:rFonts w:ascii="仿宋_GB2312"/>
                <w:sz w:val="24"/>
              </w:rPr>
            </w:pPr>
          </w:p>
        </w:tc>
      </w:tr>
    </w:tbl>
    <w:p>
      <w:pPr>
        <w:rPr>
          <w:rFonts w:eastAsia="黑体"/>
          <w:szCs w:val="20"/>
        </w:rPr>
      </w:pPr>
      <w:r>
        <w:rPr>
          <w:rFonts w:hint="eastAsia" w:eastAsia="黑体"/>
        </w:rPr>
        <w:t>三、培养期成果一览</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9135" w:type="dxa"/>
            <w:tcBorders>
              <w:top w:val="single" w:color="auto" w:sz="4" w:space="0"/>
              <w:left w:val="single" w:color="auto" w:sz="4" w:space="0"/>
              <w:bottom w:val="single" w:color="auto" w:sz="4" w:space="0"/>
              <w:right w:val="single" w:color="auto" w:sz="4" w:space="0"/>
            </w:tcBorders>
          </w:tcPr>
          <w:p>
            <w:pPr>
              <w:snapToGrid w:val="0"/>
              <w:rPr>
                <w:rFonts w:ascii="仿宋_GB2312" w:hAnsi="仿宋"/>
                <w:bCs/>
                <w:sz w:val="21"/>
                <w:szCs w:val="21"/>
              </w:rPr>
            </w:pPr>
            <w:r>
              <w:rPr>
                <w:rFonts w:hint="eastAsia" w:ascii="仿宋_GB2312" w:hAnsi="仿宋"/>
                <w:bCs/>
                <w:sz w:val="21"/>
                <w:szCs w:val="21"/>
              </w:rPr>
              <w:t>1、承担主要教学科研项目及获奖、获得专利情况</w:t>
            </w:r>
          </w:p>
          <w:p>
            <w:pPr>
              <w:snapToGrid w:val="0"/>
              <w:rPr>
                <w:rFonts w:ascii="仿宋_GB2312" w:hAnsi="仿宋"/>
                <w:bCs/>
                <w:sz w:val="21"/>
                <w:szCs w:val="21"/>
              </w:rPr>
            </w:pPr>
            <w:r>
              <w:rPr>
                <w:rFonts w:hint="eastAsia" w:ascii="仿宋_GB2312" w:hAnsi="仿宋"/>
                <w:bCs/>
                <w:sz w:val="21"/>
                <w:szCs w:val="21"/>
              </w:rPr>
              <w:t>（请注明项目名称、项目来源、项目经费、项目起讫时间、所有项目完成人姓名以及项目完成人排序等。如成果获得相应科技奖励，请注明授奖单位、奖励名称、级别及日期；如成果获得专利，请注明获准专利国别、类别及专利号）</w:t>
            </w:r>
          </w:p>
          <w:p>
            <w:pPr>
              <w:snapToGrid w:val="0"/>
              <w:rPr>
                <w:rFonts w:ascii="仿宋_GB2312" w:hAnsi="仿宋"/>
                <w:sz w:val="21"/>
                <w:szCs w:val="21"/>
              </w:rPr>
            </w:pPr>
          </w:p>
          <w:p>
            <w:pPr>
              <w:spacing w:before="120" w:after="120"/>
              <w:rPr>
                <w:rFonts w:ascii="Times New Roman" w:hAnsi="Times New Roman" w:eastAsiaTheme="minorEastAsia"/>
                <w:b/>
                <w:color w:val="FF0000"/>
                <w:sz w:val="21"/>
                <w:szCs w:val="21"/>
              </w:rPr>
            </w:pPr>
            <w:r>
              <w:rPr>
                <w:rFonts w:hint="eastAsia" w:ascii="Times New Roman" w:hAnsi="Times New Roman" w:eastAsiaTheme="minorEastAsia"/>
                <w:b/>
                <w:sz w:val="21"/>
                <w:szCs w:val="21"/>
              </w:rPr>
              <w:t xml:space="preserve">（1）承担主要教学科研项目 </w:t>
            </w:r>
            <w:r>
              <w:rPr>
                <w:rFonts w:ascii="Times New Roman" w:hAnsi="Times New Roman" w:eastAsiaTheme="minorEastAsia"/>
                <w:b/>
                <w:sz w:val="21"/>
                <w:szCs w:val="21"/>
              </w:rPr>
              <w:t xml:space="preserve"> </w:t>
            </w:r>
          </w:p>
          <w:p>
            <w:pPr>
              <w:numPr>
                <w:ilvl w:val="0"/>
                <w:numId w:val="1"/>
              </w:numPr>
              <w:spacing w:line="360" w:lineRule="auto"/>
              <w:rPr>
                <w:rFonts w:eastAsia="宋体"/>
                <w:sz w:val="21"/>
                <w:szCs w:val="21"/>
              </w:rPr>
            </w:pPr>
            <w:r>
              <w:rPr>
                <w:rFonts w:hint="eastAsia" w:hAnsi="宋体" w:eastAsia="宋体"/>
                <w:sz w:val="21"/>
                <w:szCs w:val="21"/>
              </w:rPr>
              <w:t>秸秆生物制氢过程中暗发酵液的品质调控机理及质量传递特性研究</w:t>
            </w:r>
            <w:r>
              <w:rPr>
                <w:rFonts w:hAnsi="宋体" w:eastAsia="宋体"/>
                <w:sz w:val="21"/>
                <w:szCs w:val="21"/>
              </w:rPr>
              <w:t>，</w:t>
            </w:r>
            <w:r>
              <w:rPr>
                <w:rFonts w:hint="eastAsia" w:hAnsi="宋体" w:eastAsia="宋体"/>
                <w:sz w:val="21"/>
                <w:szCs w:val="21"/>
              </w:rPr>
              <w:t>国家自然科学基金</w:t>
            </w:r>
            <w:r>
              <w:rPr>
                <w:rFonts w:hAnsi="宋体" w:eastAsia="宋体"/>
                <w:sz w:val="21"/>
                <w:szCs w:val="21"/>
              </w:rPr>
              <w:t>，</w:t>
            </w:r>
            <w:r>
              <w:rPr>
                <w:rFonts w:eastAsia="宋体"/>
                <w:sz w:val="21"/>
                <w:szCs w:val="21"/>
              </w:rPr>
              <w:t>27</w:t>
            </w:r>
            <w:r>
              <w:rPr>
                <w:rFonts w:hAnsi="宋体" w:eastAsia="宋体"/>
                <w:sz w:val="21"/>
                <w:szCs w:val="21"/>
              </w:rPr>
              <w:t>万元，</w:t>
            </w:r>
            <w:r>
              <w:rPr>
                <w:rFonts w:eastAsia="宋体"/>
                <w:sz w:val="21"/>
                <w:szCs w:val="21"/>
              </w:rPr>
              <w:t>2016.01-2018.12</w:t>
            </w:r>
            <w:r>
              <w:rPr>
                <w:rFonts w:hAnsi="宋体" w:eastAsia="宋体"/>
                <w:sz w:val="21"/>
                <w:szCs w:val="21"/>
              </w:rPr>
              <w:t>，项目</w:t>
            </w:r>
            <w:r>
              <w:rPr>
                <w:rFonts w:hint="eastAsia" w:hAnsi="宋体" w:eastAsia="宋体"/>
                <w:sz w:val="21"/>
                <w:szCs w:val="21"/>
              </w:rPr>
              <w:t>完成人</w:t>
            </w:r>
            <w:r>
              <w:rPr>
                <w:rFonts w:hAnsi="宋体" w:eastAsia="宋体"/>
                <w:sz w:val="21"/>
                <w:szCs w:val="21"/>
              </w:rPr>
              <w:t>：</w:t>
            </w:r>
            <w:r>
              <w:rPr>
                <w:rFonts w:eastAsia="宋体"/>
                <w:sz w:val="21"/>
                <w:szCs w:val="21"/>
              </w:rPr>
              <w:t xml:space="preserve"> </w:t>
            </w:r>
            <w:r>
              <w:rPr>
                <w:rFonts w:hint="eastAsia" w:eastAsia="宋体"/>
                <w:sz w:val="21"/>
                <w:szCs w:val="21"/>
              </w:rPr>
              <w:t>荆艳艳，张全国，胡建军，王毅， 张志萍，蒋丹萍，李亚猛，张甜，刘会亮。</w:t>
            </w:r>
          </w:p>
          <w:p>
            <w:pPr>
              <w:numPr>
                <w:ilvl w:val="0"/>
                <w:numId w:val="1"/>
              </w:numPr>
              <w:spacing w:line="360" w:lineRule="auto"/>
              <w:rPr>
                <w:rFonts w:hAnsi="宋体" w:eastAsia="宋体"/>
                <w:sz w:val="21"/>
                <w:szCs w:val="21"/>
              </w:rPr>
            </w:pPr>
            <w:r>
              <w:rPr>
                <w:rFonts w:hint="eastAsia" w:hAnsi="宋体" w:eastAsia="宋体"/>
                <w:sz w:val="21"/>
                <w:szCs w:val="21"/>
              </w:rPr>
              <w:t>农业生物环境与能源工程专业本科实践教学改革与创新，河南省高等教育教学改革研究与实践项目，</w:t>
            </w:r>
            <w:r>
              <w:rPr>
                <w:rFonts w:hAnsi="宋体" w:eastAsia="宋体"/>
                <w:sz w:val="21"/>
                <w:szCs w:val="21"/>
              </w:rPr>
              <w:t>2018.01-2019.12</w:t>
            </w:r>
            <w:r>
              <w:rPr>
                <w:rFonts w:hint="eastAsia" w:hAnsi="宋体" w:eastAsia="宋体"/>
                <w:sz w:val="21"/>
                <w:szCs w:val="21"/>
              </w:rPr>
              <w:t>，</w:t>
            </w:r>
            <w:r>
              <w:rPr>
                <w:rFonts w:hAnsi="宋体" w:eastAsia="宋体"/>
                <w:sz w:val="21"/>
                <w:szCs w:val="21"/>
              </w:rPr>
              <w:t>项目</w:t>
            </w:r>
            <w:r>
              <w:rPr>
                <w:rFonts w:hint="eastAsia" w:hAnsi="宋体" w:eastAsia="宋体"/>
                <w:sz w:val="21"/>
                <w:szCs w:val="21"/>
              </w:rPr>
              <w:t>完成人</w:t>
            </w:r>
            <w:r>
              <w:rPr>
                <w:rFonts w:hAnsi="宋体" w:eastAsia="宋体"/>
                <w:sz w:val="21"/>
                <w:szCs w:val="21"/>
              </w:rPr>
              <w:t>：</w:t>
            </w:r>
            <w:r>
              <w:rPr>
                <w:rFonts w:hint="eastAsia" w:hAnsi="宋体" w:eastAsia="宋体"/>
                <w:sz w:val="21"/>
                <w:szCs w:val="21"/>
              </w:rPr>
              <w:t>荆艳艳，王毅，李世欣，李刚，郭前辉，张寰。</w:t>
            </w:r>
          </w:p>
          <w:p>
            <w:pPr>
              <w:numPr>
                <w:ilvl w:val="0"/>
                <w:numId w:val="1"/>
              </w:numPr>
              <w:spacing w:line="360" w:lineRule="auto"/>
              <w:rPr>
                <w:rFonts w:hAnsi="宋体" w:eastAsia="宋体"/>
                <w:sz w:val="21"/>
                <w:szCs w:val="21"/>
              </w:rPr>
            </w:pPr>
            <w:r>
              <w:rPr>
                <w:rFonts w:hint="eastAsia" w:eastAsia="宋体"/>
                <w:sz w:val="21"/>
                <w:szCs w:val="21"/>
              </w:rPr>
              <w:t>农林生物质同步糖化生物共发酵产氢关键技术研究，</w:t>
            </w:r>
            <w:r>
              <w:rPr>
                <w:rFonts w:hint="eastAsia" w:hAnsi="宋体" w:eastAsia="宋体"/>
                <w:sz w:val="21"/>
                <w:szCs w:val="21"/>
              </w:rPr>
              <w:t>河南省科技攻关，</w:t>
            </w:r>
            <w:r>
              <w:rPr>
                <w:rFonts w:hAnsi="宋体" w:eastAsia="宋体"/>
                <w:sz w:val="21"/>
                <w:szCs w:val="21"/>
              </w:rPr>
              <w:t>2021</w:t>
            </w:r>
            <w:r>
              <w:rPr>
                <w:rFonts w:hint="eastAsia" w:hAnsi="宋体" w:eastAsia="宋体"/>
                <w:sz w:val="21"/>
                <w:szCs w:val="21"/>
              </w:rPr>
              <w:t>.</w:t>
            </w:r>
            <w:r>
              <w:rPr>
                <w:rFonts w:hAnsi="宋体" w:eastAsia="宋体"/>
                <w:sz w:val="21"/>
                <w:szCs w:val="21"/>
              </w:rPr>
              <w:t>01-2022.12,项目</w:t>
            </w:r>
            <w:r>
              <w:rPr>
                <w:rFonts w:hint="eastAsia" w:hAnsi="宋体" w:eastAsia="宋体"/>
                <w:sz w:val="21"/>
                <w:szCs w:val="21"/>
              </w:rPr>
              <w:t>成员：王毅，荆艳艳，张志萍，路朝阳，郭前辉，张寰，李林泽，金鹏，王健。</w:t>
            </w:r>
          </w:p>
          <w:p>
            <w:pPr>
              <w:numPr>
                <w:ilvl w:val="0"/>
                <w:numId w:val="1"/>
              </w:numPr>
              <w:spacing w:line="360" w:lineRule="auto"/>
              <w:rPr>
                <w:rFonts w:eastAsia="宋体"/>
                <w:sz w:val="21"/>
                <w:szCs w:val="21"/>
              </w:rPr>
            </w:pPr>
            <w:r>
              <w:rPr>
                <w:rFonts w:eastAsia="宋体"/>
                <w:sz w:val="21"/>
                <w:szCs w:val="21"/>
              </w:rPr>
              <w:t>生物质能源，河南省高校科技创新团队支持计划，</w:t>
            </w:r>
            <w:r>
              <w:rPr>
                <w:rFonts w:hint="eastAsia" w:eastAsia="宋体"/>
                <w:sz w:val="21"/>
                <w:szCs w:val="21"/>
              </w:rPr>
              <w:t>1</w:t>
            </w:r>
            <w:r>
              <w:rPr>
                <w:rFonts w:eastAsia="宋体"/>
                <w:sz w:val="21"/>
                <w:szCs w:val="21"/>
              </w:rPr>
              <w:t>00万元，</w:t>
            </w:r>
            <w:r>
              <w:rPr>
                <w:rFonts w:hint="eastAsia" w:eastAsia="宋体"/>
                <w:sz w:val="21"/>
                <w:szCs w:val="21"/>
              </w:rPr>
              <w:t>2</w:t>
            </w:r>
            <w:r>
              <w:rPr>
                <w:rFonts w:eastAsia="宋体"/>
                <w:sz w:val="21"/>
                <w:szCs w:val="21"/>
              </w:rPr>
              <w:t>020</w:t>
            </w:r>
            <w:r>
              <w:rPr>
                <w:rFonts w:hint="eastAsia" w:eastAsia="宋体"/>
                <w:sz w:val="21"/>
                <w:szCs w:val="21"/>
              </w:rPr>
              <w:t>.</w:t>
            </w:r>
            <w:r>
              <w:rPr>
                <w:rFonts w:eastAsia="宋体"/>
                <w:sz w:val="21"/>
                <w:szCs w:val="21"/>
              </w:rPr>
              <w:t>01-2021.12，项目成员：胡建军，张全国，张志萍，荆艳艳，贺超，</w:t>
            </w:r>
            <w:r>
              <w:rPr>
                <w:rFonts w:hint="eastAsia" w:eastAsia="宋体"/>
                <w:sz w:val="21"/>
                <w:szCs w:val="21"/>
              </w:rPr>
              <w:t>徐桂转，</w:t>
            </w:r>
            <w:r>
              <w:rPr>
                <w:rFonts w:eastAsia="宋体"/>
                <w:sz w:val="21"/>
                <w:szCs w:val="21"/>
              </w:rPr>
              <w:t>王毅，蒋丹萍，赵淑蘅。</w:t>
            </w:r>
          </w:p>
          <w:p>
            <w:pPr>
              <w:numPr>
                <w:ilvl w:val="0"/>
                <w:numId w:val="1"/>
              </w:numPr>
              <w:spacing w:line="360" w:lineRule="auto"/>
              <w:rPr>
                <w:rFonts w:eastAsia="宋体"/>
                <w:sz w:val="21"/>
                <w:szCs w:val="21"/>
              </w:rPr>
            </w:pPr>
            <w:r>
              <w:rPr>
                <w:rFonts w:eastAsia="宋体"/>
                <w:sz w:val="21"/>
                <w:szCs w:val="21"/>
              </w:rPr>
              <w:t>基于废弃物的生物氢气和生物甲烷及缓释营养 剂联产技术研究与示范</w:t>
            </w:r>
            <w:r>
              <w:rPr>
                <w:rFonts w:hint="eastAsia" w:eastAsia="宋体"/>
                <w:sz w:val="21"/>
                <w:szCs w:val="21"/>
              </w:rPr>
              <w:t>，</w:t>
            </w:r>
            <w:r>
              <w:rPr>
                <w:rFonts w:eastAsia="宋体"/>
                <w:sz w:val="21"/>
                <w:szCs w:val="21"/>
              </w:rPr>
              <w:t>国家重点研发计划</w:t>
            </w:r>
            <w:r>
              <w:rPr>
                <w:rFonts w:hint="eastAsia" w:eastAsia="宋体"/>
                <w:sz w:val="21"/>
                <w:szCs w:val="21"/>
              </w:rPr>
              <w:t>，6</w:t>
            </w:r>
            <w:r>
              <w:rPr>
                <w:rFonts w:eastAsia="宋体"/>
                <w:sz w:val="21"/>
                <w:szCs w:val="21"/>
              </w:rPr>
              <w:t>57</w:t>
            </w:r>
            <w:r>
              <w:rPr>
                <w:rFonts w:hint="eastAsia" w:eastAsia="宋体"/>
                <w:sz w:val="21"/>
                <w:szCs w:val="21"/>
              </w:rPr>
              <w:t>万元，</w:t>
            </w:r>
            <w:r>
              <w:rPr>
                <w:rFonts w:eastAsia="宋体"/>
                <w:sz w:val="21"/>
                <w:szCs w:val="21"/>
              </w:rPr>
              <w:t>2019.12-2022.12</w:t>
            </w:r>
            <w:r>
              <w:rPr>
                <w:rFonts w:hint="eastAsia" w:eastAsia="宋体"/>
                <w:sz w:val="21"/>
                <w:szCs w:val="21"/>
              </w:rPr>
              <w:t>，</w:t>
            </w:r>
            <w:r>
              <w:rPr>
                <w:rFonts w:eastAsia="宋体"/>
                <w:sz w:val="21"/>
                <w:szCs w:val="21"/>
              </w:rPr>
              <w:t>项目成员：张全国</w:t>
            </w:r>
            <w:r>
              <w:rPr>
                <w:rFonts w:hint="eastAsia" w:eastAsia="宋体"/>
                <w:sz w:val="21"/>
                <w:szCs w:val="21"/>
              </w:rPr>
              <w:t>，</w:t>
            </w:r>
            <w:r>
              <w:rPr>
                <w:rFonts w:eastAsia="宋体"/>
                <w:sz w:val="21"/>
                <w:szCs w:val="21"/>
              </w:rPr>
              <w:t>胡建军</w:t>
            </w:r>
            <w:r>
              <w:rPr>
                <w:rFonts w:hint="eastAsia" w:eastAsia="宋体"/>
                <w:sz w:val="21"/>
                <w:szCs w:val="21"/>
              </w:rPr>
              <w:t>，</w:t>
            </w:r>
            <w:r>
              <w:rPr>
                <w:rFonts w:eastAsia="宋体"/>
                <w:sz w:val="21"/>
                <w:szCs w:val="21"/>
              </w:rPr>
              <w:t>焦有宙</w:t>
            </w:r>
            <w:r>
              <w:rPr>
                <w:rFonts w:hint="eastAsia" w:eastAsia="宋体"/>
                <w:sz w:val="21"/>
                <w:szCs w:val="21"/>
              </w:rPr>
              <w:t>，</w:t>
            </w:r>
            <w:r>
              <w:rPr>
                <w:rFonts w:eastAsia="宋体"/>
                <w:sz w:val="21"/>
                <w:szCs w:val="21"/>
              </w:rPr>
              <w:t>孙勇</w:t>
            </w:r>
            <w:r>
              <w:rPr>
                <w:rFonts w:hint="eastAsia" w:eastAsia="宋体"/>
                <w:sz w:val="21"/>
                <w:szCs w:val="21"/>
              </w:rPr>
              <w:t>，</w:t>
            </w:r>
            <w:r>
              <w:rPr>
                <w:rFonts w:eastAsia="宋体"/>
                <w:sz w:val="21"/>
                <w:szCs w:val="21"/>
              </w:rPr>
              <w:t>张一维</w:t>
            </w:r>
            <w:r>
              <w:rPr>
                <w:rFonts w:hint="eastAsia" w:eastAsia="宋体"/>
                <w:sz w:val="21"/>
                <w:szCs w:val="21"/>
              </w:rPr>
              <w:t>等，本人排名2</w:t>
            </w:r>
            <w:r>
              <w:rPr>
                <w:rFonts w:eastAsia="宋体"/>
                <w:sz w:val="21"/>
                <w:szCs w:val="21"/>
              </w:rPr>
              <w:t>1</w:t>
            </w:r>
          </w:p>
          <w:p>
            <w:pPr>
              <w:numPr>
                <w:ilvl w:val="0"/>
                <w:numId w:val="1"/>
              </w:numPr>
              <w:spacing w:line="360" w:lineRule="auto"/>
              <w:rPr>
                <w:rFonts w:hAnsi="宋体" w:eastAsia="宋体"/>
                <w:sz w:val="21"/>
                <w:szCs w:val="21"/>
              </w:rPr>
            </w:pPr>
            <w:r>
              <w:rPr>
                <w:rFonts w:hint="eastAsia" w:hAnsi="宋体" w:eastAsia="宋体"/>
                <w:sz w:val="21"/>
                <w:szCs w:val="21"/>
              </w:rPr>
              <w:t>生物质光合生物制氢过程界面传递特性研究，河南省高等学校青年骨干教师培养计划，2万元，</w:t>
            </w:r>
            <w:r>
              <w:rPr>
                <w:rFonts w:hAnsi="宋体" w:eastAsia="宋体"/>
                <w:sz w:val="21"/>
                <w:szCs w:val="21"/>
              </w:rPr>
              <w:t>2019.01-2021.12</w:t>
            </w:r>
            <w:r>
              <w:rPr>
                <w:rFonts w:hint="eastAsia" w:hAnsi="宋体" w:eastAsia="宋体"/>
                <w:sz w:val="21"/>
                <w:szCs w:val="21"/>
              </w:rPr>
              <w:t>，</w:t>
            </w:r>
            <w:r>
              <w:rPr>
                <w:rFonts w:hAnsi="宋体" w:eastAsia="宋体"/>
                <w:sz w:val="21"/>
                <w:szCs w:val="21"/>
              </w:rPr>
              <w:t>项目成员：</w:t>
            </w:r>
            <w:r>
              <w:rPr>
                <w:rFonts w:hint="eastAsia" w:hAnsi="宋体" w:eastAsia="宋体"/>
                <w:sz w:val="21"/>
                <w:szCs w:val="21"/>
              </w:rPr>
              <w:t>贺超，张志萍，李刚，荆艳艳，潘晓慧。</w:t>
            </w:r>
          </w:p>
          <w:p>
            <w:pPr>
              <w:numPr>
                <w:ilvl w:val="0"/>
                <w:numId w:val="1"/>
              </w:numPr>
              <w:spacing w:line="360" w:lineRule="auto"/>
              <w:rPr>
                <w:rFonts w:hAnsi="宋体" w:eastAsia="宋体"/>
                <w:sz w:val="21"/>
                <w:szCs w:val="21"/>
              </w:rPr>
            </w:pPr>
            <w:r>
              <w:rPr>
                <w:rFonts w:hint="eastAsia" w:hAnsi="宋体" w:eastAsia="宋体"/>
                <w:sz w:val="21"/>
                <w:szCs w:val="21"/>
              </w:rPr>
              <w:t>光合生物制氢过程强化及调控技术研究，河南省</w:t>
            </w:r>
            <w:r>
              <w:rPr>
                <w:rFonts w:hAnsi="宋体" w:eastAsia="宋体"/>
                <w:sz w:val="21"/>
                <w:szCs w:val="21"/>
              </w:rPr>
              <w:t>教育厅</w:t>
            </w:r>
            <w:r>
              <w:rPr>
                <w:rFonts w:hint="eastAsia" w:hAnsi="宋体" w:eastAsia="宋体"/>
                <w:sz w:val="21"/>
                <w:szCs w:val="21"/>
              </w:rPr>
              <w:t>高等学校重点科研项目，3万元，</w:t>
            </w:r>
            <w:r>
              <w:rPr>
                <w:rFonts w:hAnsi="宋体" w:eastAsia="宋体"/>
                <w:sz w:val="21"/>
                <w:szCs w:val="21"/>
              </w:rPr>
              <w:t>2021.01-2022.12</w:t>
            </w:r>
            <w:r>
              <w:rPr>
                <w:rFonts w:hint="eastAsia" w:hAnsi="宋体" w:eastAsia="宋体"/>
                <w:sz w:val="21"/>
                <w:szCs w:val="21"/>
              </w:rPr>
              <w:t>，</w:t>
            </w:r>
            <w:r>
              <w:rPr>
                <w:rFonts w:hAnsi="宋体" w:eastAsia="宋体"/>
                <w:sz w:val="21"/>
                <w:szCs w:val="21"/>
              </w:rPr>
              <w:t>项目成员：</w:t>
            </w:r>
            <w:r>
              <w:rPr>
                <w:rFonts w:hint="eastAsia" w:hAnsi="宋体" w:eastAsia="宋体"/>
                <w:sz w:val="21"/>
                <w:szCs w:val="21"/>
              </w:rPr>
              <w:t>路朝阳，</w:t>
            </w:r>
            <w:r>
              <w:rPr>
                <w:rFonts w:hint="eastAsia" w:eastAsia="宋体"/>
                <w:sz w:val="21"/>
                <w:szCs w:val="21"/>
              </w:rPr>
              <w:t>张全国，胡建军，荆艳艳，贺超， 张志萍，蒋丹萍，张洋，金鹏，王健。</w:t>
            </w:r>
          </w:p>
          <w:p>
            <w:pPr>
              <w:numPr>
                <w:ilvl w:val="0"/>
                <w:numId w:val="1"/>
              </w:numPr>
              <w:spacing w:line="360" w:lineRule="auto"/>
              <w:rPr>
                <w:rFonts w:hAnsi="宋体" w:eastAsia="宋体"/>
                <w:sz w:val="21"/>
                <w:szCs w:val="21"/>
              </w:rPr>
            </w:pPr>
            <w:r>
              <w:rPr>
                <w:rFonts w:hint="eastAsia" w:hAnsi="宋体" w:eastAsia="宋体"/>
                <w:sz w:val="21"/>
                <w:szCs w:val="21"/>
              </w:rPr>
              <w:t>生物质锅炉多效烟气净化技术及装置，河南省科技攻关，</w:t>
            </w:r>
            <w:r>
              <w:rPr>
                <w:rFonts w:hAnsi="宋体" w:eastAsia="宋体"/>
                <w:sz w:val="21"/>
                <w:szCs w:val="21"/>
              </w:rPr>
              <w:t>2018.01-2020.07</w:t>
            </w:r>
            <w:r>
              <w:rPr>
                <w:rFonts w:hint="eastAsia" w:hAnsi="宋体" w:eastAsia="宋体"/>
                <w:sz w:val="21"/>
                <w:szCs w:val="21"/>
              </w:rPr>
              <w:t>，</w:t>
            </w:r>
            <w:r>
              <w:rPr>
                <w:rFonts w:hAnsi="宋体" w:eastAsia="宋体"/>
                <w:sz w:val="21"/>
                <w:szCs w:val="21"/>
              </w:rPr>
              <w:t>项目</w:t>
            </w:r>
            <w:r>
              <w:rPr>
                <w:rFonts w:hint="eastAsia" w:hAnsi="宋体" w:eastAsia="宋体"/>
                <w:sz w:val="21"/>
                <w:szCs w:val="21"/>
              </w:rPr>
              <w:t>完成人</w:t>
            </w:r>
            <w:r>
              <w:rPr>
                <w:rFonts w:hAnsi="宋体" w:eastAsia="宋体"/>
                <w:sz w:val="21"/>
                <w:szCs w:val="21"/>
              </w:rPr>
              <w:t>：</w:t>
            </w:r>
            <w:r>
              <w:rPr>
                <w:rFonts w:hint="eastAsia" w:hAnsi="宋体" w:eastAsia="宋体"/>
                <w:sz w:val="21"/>
                <w:szCs w:val="21"/>
              </w:rPr>
              <w:t>王毅，张全国，徐广印，</w:t>
            </w:r>
            <w:r>
              <w:rPr>
                <w:rFonts w:hint="eastAsia" w:eastAsia="宋体"/>
                <w:sz w:val="21"/>
                <w:szCs w:val="21"/>
              </w:rPr>
              <w:t>胡建军，荆艳艳，张志萍，刘新萍，李勉，路朝阳，刘会亮，张凯。</w:t>
            </w:r>
          </w:p>
          <w:p>
            <w:pPr>
              <w:numPr>
                <w:ilvl w:val="0"/>
                <w:numId w:val="1"/>
              </w:numPr>
              <w:spacing w:line="360" w:lineRule="auto"/>
              <w:rPr>
                <w:rFonts w:eastAsia="宋体"/>
                <w:sz w:val="21"/>
                <w:szCs w:val="21"/>
              </w:rPr>
            </w:pPr>
            <w:r>
              <w:rPr>
                <w:rFonts w:eastAsia="宋体"/>
                <w:sz w:val="21"/>
                <w:szCs w:val="21"/>
              </w:rPr>
              <w:t>光合生物制氢剩余物制备缓释肥实验研究，省级大学生创新训练项目，</w:t>
            </w:r>
            <w:r>
              <w:rPr>
                <w:rFonts w:hint="eastAsia" w:eastAsia="宋体"/>
                <w:sz w:val="21"/>
                <w:szCs w:val="21"/>
              </w:rPr>
              <w:t>2</w:t>
            </w:r>
            <w:r>
              <w:rPr>
                <w:rFonts w:eastAsia="宋体"/>
                <w:sz w:val="21"/>
                <w:szCs w:val="21"/>
              </w:rPr>
              <w:t>020</w:t>
            </w:r>
            <w:r>
              <w:rPr>
                <w:rFonts w:hint="eastAsia" w:eastAsia="宋体"/>
                <w:sz w:val="21"/>
                <w:szCs w:val="21"/>
              </w:rPr>
              <w:t>.</w:t>
            </w:r>
            <w:r>
              <w:rPr>
                <w:rFonts w:eastAsia="宋体"/>
                <w:sz w:val="21"/>
                <w:szCs w:val="21"/>
              </w:rPr>
              <w:t>06-2021.06,路朝阳</w:t>
            </w:r>
            <w:r>
              <w:rPr>
                <w:rFonts w:hint="eastAsia" w:eastAsia="宋体"/>
                <w:sz w:val="21"/>
                <w:szCs w:val="21"/>
              </w:rPr>
              <w:t xml:space="preserve"> </w:t>
            </w:r>
            <w:r>
              <w:rPr>
                <w:rFonts w:eastAsia="宋体"/>
                <w:sz w:val="21"/>
                <w:szCs w:val="21"/>
              </w:rPr>
              <w:t>荆艳艳指导，学生负责人：杨鑫，孟高华</w:t>
            </w:r>
            <w:r>
              <w:rPr>
                <w:rFonts w:hint="eastAsia" w:eastAsia="宋体"/>
                <w:sz w:val="21"/>
                <w:szCs w:val="21"/>
              </w:rPr>
              <w:t>。</w:t>
            </w:r>
          </w:p>
          <w:p>
            <w:pPr>
              <w:numPr>
                <w:ilvl w:val="0"/>
                <w:numId w:val="1"/>
              </w:numPr>
              <w:spacing w:line="360" w:lineRule="auto"/>
              <w:rPr>
                <w:rFonts w:hAnsi="宋体" w:eastAsia="宋体"/>
                <w:sz w:val="21"/>
                <w:szCs w:val="21"/>
              </w:rPr>
            </w:pPr>
            <w:r>
              <w:rPr>
                <w:rFonts w:hint="eastAsia" w:eastAsia="宋体"/>
                <w:sz w:val="21"/>
                <w:szCs w:val="21"/>
              </w:rPr>
              <w:t>能源动力硕士创新培养基地建设研究与实践，河南省高等教育教学改革研究与实践项目，3</w:t>
            </w:r>
            <w:r>
              <w:rPr>
                <w:rFonts w:eastAsia="宋体"/>
                <w:sz w:val="21"/>
                <w:szCs w:val="21"/>
              </w:rPr>
              <w:t>万元，</w:t>
            </w:r>
            <w:r>
              <w:rPr>
                <w:rFonts w:hint="eastAsia" w:eastAsia="宋体"/>
                <w:sz w:val="21"/>
                <w:szCs w:val="21"/>
              </w:rPr>
              <w:t>2</w:t>
            </w:r>
            <w:r>
              <w:rPr>
                <w:rFonts w:eastAsia="宋体"/>
                <w:sz w:val="21"/>
                <w:szCs w:val="21"/>
              </w:rPr>
              <w:t>019</w:t>
            </w:r>
            <w:r>
              <w:rPr>
                <w:rFonts w:hint="eastAsia" w:eastAsia="宋体"/>
                <w:sz w:val="21"/>
                <w:szCs w:val="21"/>
              </w:rPr>
              <w:t>.</w:t>
            </w:r>
            <w:r>
              <w:rPr>
                <w:rFonts w:eastAsia="宋体"/>
                <w:sz w:val="21"/>
                <w:szCs w:val="21"/>
              </w:rPr>
              <w:t>01-2020.12，项目成员：胡建军，</w:t>
            </w:r>
            <w:r>
              <w:rPr>
                <w:rFonts w:hint="eastAsia" w:eastAsia="宋体"/>
                <w:sz w:val="21"/>
                <w:szCs w:val="21"/>
              </w:rPr>
              <w:t>贺超，张志萍，李刚，徐桂转，荆艳艳，黄黎，王伟。</w:t>
            </w:r>
          </w:p>
          <w:p>
            <w:pPr>
              <w:numPr>
                <w:ilvl w:val="0"/>
                <w:numId w:val="1"/>
              </w:numPr>
              <w:spacing w:line="360" w:lineRule="auto"/>
              <w:rPr>
                <w:rFonts w:eastAsia="宋体"/>
                <w:sz w:val="21"/>
                <w:szCs w:val="21"/>
              </w:rPr>
            </w:pPr>
            <w:r>
              <w:rPr>
                <w:rFonts w:hint="eastAsia" w:hAnsi="宋体" w:eastAsia="宋体"/>
                <w:sz w:val="21"/>
                <w:szCs w:val="21"/>
              </w:rPr>
              <w:t>项目驱动教学法在“可再生能源发电技术” 课程中的创新与实践，河南农业大学教学改革</w:t>
            </w:r>
            <w:r>
              <w:rPr>
                <w:rFonts w:hAnsi="宋体" w:eastAsia="宋体"/>
                <w:sz w:val="21"/>
                <w:szCs w:val="21"/>
              </w:rPr>
              <w:t>研究与实践</w:t>
            </w:r>
            <w:r>
              <w:rPr>
                <w:rFonts w:hint="eastAsia" w:hAnsi="宋体" w:eastAsia="宋体"/>
                <w:sz w:val="21"/>
                <w:szCs w:val="21"/>
              </w:rPr>
              <w:t>项目，</w:t>
            </w:r>
            <w:r>
              <w:rPr>
                <w:rFonts w:hAnsi="宋体" w:eastAsia="宋体"/>
                <w:sz w:val="21"/>
                <w:szCs w:val="21"/>
              </w:rPr>
              <w:t>1</w:t>
            </w:r>
            <w:r>
              <w:rPr>
                <w:rFonts w:hint="eastAsia" w:hAnsi="宋体" w:eastAsia="宋体"/>
                <w:sz w:val="21"/>
                <w:szCs w:val="21"/>
              </w:rPr>
              <w:t>万元，</w:t>
            </w:r>
            <w:r>
              <w:rPr>
                <w:rFonts w:hAnsi="宋体" w:eastAsia="宋体"/>
                <w:sz w:val="21"/>
                <w:szCs w:val="21"/>
              </w:rPr>
              <w:t>2020.09-2022.09</w:t>
            </w:r>
            <w:r>
              <w:rPr>
                <w:rFonts w:hint="eastAsia" w:hAnsi="宋体" w:eastAsia="宋体"/>
                <w:sz w:val="21"/>
                <w:szCs w:val="21"/>
              </w:rPr>
              <w:t xml:space="preserve"> ，</w:t>
            </w:r>
            <w:r>
              <w:rPr>
                <w:rFonts w:hAnsi="宋体" w:eastAsia="宋体"/>
                <w:sz w:val="21"/>
                <w:szCs w:val="21"/>
              </w:rPr>
              <w:t>项目成员：</w:t>
            </w:r>
            <w:r>
              <w:rPr>
                <w:rFonts w:hint="eastAsia" w:eastAsia="宋体"/>
                <w:sz w:val="21"/>
                <w:szCs w:val="21"/>
              </w:rPr>
              <w:t>张志萍，贺超，荆艳艳，蒋丹萍，刘亮，路朝阳，张寰，焦有宙。</w:t>
            </w:r>
          </w:p>
          <w:p>
            <w:pPr>
              <w:numPr>
                <w:ilvl w:val="0"/>
                <w:numId w:val="1"/>
              </w:numPr>
              <w:spacing w:line="360" w:lineRule="auto"/>
              <w:rPr>
                <w:rFonts w:eastAsia="宋体"/>
                <w:sz w:val="21"/>
                <w:szCs w:val="21"/>
              </w:rPr>
            </w:pPr>
            <w:r>
              <w:rPr>
                <w:rFonts w:hint="eastAsia" w:eastAsia="宋体"/>
                <w:sz w:val="21"/>
                <w:szCs w:val="21"/>
              </w:rPr>
              <w:t>光合生物制氢定向代谢调控机理研究，河南农业大学青年科技创新基金，1</w:t>
            </w:r>
            <w:r>
              <w:rPr>
                <w:rFonts w:eastAsia="宋体"/>
                <w:sz w:val="21"/>
                <w:szCs w:val="21"/>
              </w:rPr>
              <w:t>0</w:t>
            </w:r>
            <w:r>
              <w:rPr>
                <w:rFonts w:hint="eastAsia" w:eastAsia="宋体"/>
                <w:sz w:val="21"/>
                <w:szCs w:val="21"/>
              </w:rPr>
              <w:t>万元，2</w:t>
            </w:r>
            <w:r>
              <w:rPr>
                <w:rFonts w:eastAsia="宋体"/>
                <w:sz w:val="21"/>
                <w:szCs w:val="21"/>
              </w:rPr>
              <w:t>020.01-2022.12,</w:t>
            </w:r>
            <w:r>
              <w:rPr>
                <w:rFonts w:hAnsi="宋体" w:eastAsia="宋体"/>
                <w:sz w:val="21"/>
                <w:szCs w:val="21"/>
              </w:rPr>
              <w:t xml:space="preserve"> 项目成员：</w:t>
            </w:r>
            <w:r>
              <w:rPr>
                <w:rFonts w:hint="eastAsia" w:hAnsi="宋体" w:eastAsia="宋体"/>
                <w:sz w:val="21"/>
                <w:szCs w:val="21"/>
              </w:rPr>
              <w:t>路朝阳，</w:t>
            </w:r>
            <w:r>
              <w:rPr>
                <w:rFonts w:hint="eastAsia" w:eastAsia="宋体"/>
                <w:sz w:val="21"/>
                <w:szCs w:val="21"/>
              </w:rPr>
              <w:t>张全国，胡建军，贺超，荆艳艳， 王毅，张志萍，蒋丹萍，张寰</w:t>
            </w:r>
          </w:p>
          <w:p>
            <w:pPr>
              <w:numPr>
                <w:ilvl w:val="0"/>
                <w:numId w:val="1"/>
              </w:numPr>
              <w:spacing w:line="360" w:lineRule="auto"/>
              <w:rPr>
                <w:rFonts w:eastAsia="宋体"/>
                <w:sz w:val="21"/>
                <w:szCs w:val="21"/>
              </w:rPr>
            </w:pPr>
            <w:r>
              <w:rPr>
                <w:rFonts w:eastAsia="宋体"/>
                <w:sz w:val="21"/>
                <w:szCs w:val="21"/>
              </w:rPr>
              <w:t>双一流背景下农业工程类专业教学改革研究与实践，</w:t>
            </w:r>
            <w:r>
              <w:rPr>
                <w:rFonts w:hint="eastAsia" w:eastAsia="宋体"/>
                <w:sz w:val="21"/>
                <w:szCs w:val="21"/>
              </w:rPr>
              <w:t>河南农业大学本科教学工程项目，2</w:t>
            </w:r>
            <w:r>
              <w:rPr>
                <w:rFonts w:eastAsia="宋体"/>
                <w:sz w:val="21"/>
                <w:szCs w:val="21"/>
              </w:rPr>
              <w:t>万元，</w:t>
            </w:r>
            <w:r>
              <w:rPr>
                <w:rFonts w:hint="eastAsia" w:eastAsia="宋体"/>
                <w:sz w:val="21"/>
                <w:szCs w:val="21"/>
              </w:rPr>
              <w:t>2</w:t>
            </w:r>
            <w:r>
              <w:rPr>
                <w:rFonts w:eastAsia="宋体"/>
                <w:sz w:val="21"/>
                <w:szCs w:val="21"/>
              </w:rPr>
              <w:t>018</w:t>
            </w:r>
            <w:r>
              <w:rPr>
                <w:rFonts w:hint="eastAsia" w:eastAsia="宋体"/>
                <w:sz w:val="21"/>
                <w:szCs w:val="21"/>
              </w:rPr>
              <w:t>.</w:t>
            </w:r>
            <w:r>
              <w:rPr>
                <w:rFonts w:eastAsia="宋体"/>
                <w:sz w:val="21"/>
                <w:szCs w:val="21"/>
              </w:rPr>
              <w:t>10-2020.10</w:t>
            </w:r>
            <w:r>
              <w:rPr>
                <w:rFonts w:hint="eastAsia" w:hAnsi="宋体" w:eastAsia="宋体"/>
                <w:sz w:val="21"/>
                <w:szCs w:val="21"/>
              </w:rPr>
              <w:t>，</w:t>
            </w:r>
            <w:r>
              <w:rPr>
                <w:rFonts w:hAnsi="宋体" w:eastAsia="宋体"/>
                <w:sz w:val="21"/>
                <w:szCs w:val="21"/>
              </w:rPr>
              <w:t>项目成员：</w:t>
            </w:r>
            <w:r>
              <w:rPr>
                <w:rFonts w:hint="eastAsia" w:eastAsia="宋体"/>
                <w:sz w:val="21"/>
                <w:szCs w:val="21"/>
              </w:rPr>
              <w:t>贺超，张志萍，焦有宙，张全国，徐桂转，李刚，荆艳艳，王伟。</w:t>
            </w:r>
          </w:p>
          <w:p>
            <w:pPr>
              <w:numPr>
                <w:ilvl w:val="0"/>
                <w:numId w:val="1"/>
              </w:numPr>
              <w:spacing w:line="360" w:lineRule="auto"/>
              <w:rPr>
                <w:rFonts w:eastAsia="宋体"/>
                <w:sz w:val="21"/>
                <w:szCs w:val="21"/>
              </w:rPr>
            </w:pPr>
            <w:r>
              <w:rPr>
                <w:rFonts w:eastAsia="宋体"/>
                <w:sz w:val="21"/>
                <w:szCs w:val="21"/>
              </w:rPr>
              <w:t>农业废弃物生化转化制备混氢天然气关键技术研发</w:t>
            </w:r>
            <w:r>
              <w:rPr>
                <w:rFonts w:hint="eastAsia" w:eastAsia="宋体"/>
                <w:sz w:val="21"/>
                <w:szCs w:val="21"/>
              </w:rPr>
              <w:t>,</w:t>
            </w:r>
            <w:r>
              <w:rPr>
                <w:rFonts w:eastAsia="宋体"/>
                <w:sz w:val="21"/>
                <w:szCs w:val="21"/>
              </w:rPr>
              <w:t>校级大学生创新训练项目</w:t>
            </w:r>
            <w:r>
              <w:rPr>
                <w:rFonts w:hint="eastAsia" w:eastAsia="宋体"/>
                <w:sz w:val="21"/>
                <w:szCs w:val="21"/>
              </w:rPr>
              <w:t>,2018.</w:t>
            </w:r>
            <w:r>
              <w:rPr>
                <w:rFonts w:eastAsia="宋体"/>
                <w:sz w:val="21"/>
                <w:szCs w:val="21"/>
              </w:rPr>
              <w:t>06-20</w:t>
            </w:r>
            <w:r>
              <w:rPr>
                <w:rFonts w:hint="eastAsia" w:eastAsia="宋体"/>
                <w:sz w:val="21"/>
                <w:szCs w:val="21"/>
              </w:rPr>
              <w:t>19</w:t>
            </w:r>
            <w:r>
              <w:rPr>
                <w:rFonts w:eastAsia="宋体"/>
                <w:sz w:val="21"/>
                <w:szCs w:val="21"/>
              </w:rPr>
              <w:t>.06</w:t>
            </w:r>
            <w:r>
              <w:rPr>
                <w:rFonts w:hint="eastAsia" w:eastAsia="宋体"/>
                <w:sz w:val="21"/>
                <w:szCs w:val="21"/>
              </w:rPr>
              <w:t>，张志萍 王毅指导，</w:t>
            </w:r>
            <w:r>
              <w:rPr>
                <w:rFonts w:eastAsia="宋体"/>
                <w:sz w:val="21"/>
                <w:szCs w:val="21"/>
              </w:rPr>
              <w:t>学生负责人：</w:t>
            </w:r>
            <w:r>
              <w:rPr>
                <w:rFonts w:hint="eastAsia" w:eastAsia="宋体"/>
                <w:sz w:val="21"/>
                <w:szCs w:val="21"/>
              </w:rPr>
              <w:t>许聪聪</w:t>
            </w:r>
          </w:p>
          <w:p>
            <w:pPr>
              <w:spacing w:line="360" w:lineRule="auto"/>
              <w:rPr>
                <w:rFonts w:ascii="Times New Roman" w:hAnsi="Times New Roman" w:eastAsiaTheme="minorEastAsia"/>
                <w:b/>
                <w:sz w:val="21"/>
                <w:szCs w:val="21"/>
              </w:rPr>
            </w:pPr>
            <w:r>
              <w:rPr>
                <w:rFonts w:hint="eastAsia" w:ascii="Times New Roman" w:hAnsi="Times New Roman" w:eastAsiaTheme="minorEastAsia"/>
                <w:b/>
                <w:sz w:val="21"/>
                <w:szCs w:val="21"/>
              </w:rPr>
              <w:t>（2）获奖情况</w:t>
            </w:r>
          </w:p>
          <w:p>
            <w:pPr>
              <w:numPr>
                <w:ilvl w:val="0"/>
                <w:numId w:val="2"/>
              </w:numPr>
              <w:spacing w:line="360" w:lineRule="auto"/>
              <w:rPr>
                <w:rFonts w:hAnsi="宋体" w:eastAsia="宋体"/>
                <w:sz w:val="21"/>
                <w:szCs w:val="21"/>
              </w:rPr>
            </w:pPr>
            <w:r>
              <w:rPr>
                <w:rFonts w:hint="eastAsia" w:hAnsi="宋体" w:eastAsia="宋体"/>
                <w:sz w:val="21"/>
                <w:szCs w:val="21"/>
              </w:rPr>
              <w:t>农业废弃物双元循环多联产资源化技术及应用，河南省人民政府，河南省科技进步一等奖，2</w:t>
            </w:r>
            <w:r>
              <w:rPr>
                <w:rFonts w:hAnsi="宋体" w:eastAsia="宋体"/>
                <w:sz w:val="21"/>
                <w:szCs w:val="21"/>
              </w:rPr>
              <w:t>017年</w:t>
            </w:r>
            <w:r>
              <w:rPr>
                <w:rFonts w:hint="eastAsia" w:hAnsi="宋体" w:eastAsia="宋体"/>
                <w:sz w:val="21"/>
                <w:szCs w:val="21"/>
              </w:rPr>
              <w:t>1</w:t>
            </w:r>
            <w:r>
              <w:rPr>
                <w:rFonts w:hAnsi="宋体" w:eastAsia="宋体"/>
                <w:sz w:val="21"/>
                <w:szCs w:val="21"/>
              </w:rPr>
              <w:t>2月，证书编号：</w:t>
            </w:r>
            <w:r>
              <w:rPr>
                <w:rFonts w:hint="eastAsia" w:hAnsi="宋体" w:eastAsia="宋体"/>
                <w:sz w:val="21"/>
                <w:szCs w:val="21"/>
              </w:rPr>
              <w:t>2017-J-10-R12/14</w:t>
            </w:r>
          </w:p>
          <w:p>
            <w:pPr>
              <w:numPr>
                <w:ilvl w:val="0"/>
                <w:numId w:val="2"/>
              </w:numPr>
              <w:spacing w:line="360" w:lineRule="auto"/>
              <w:rPr>
                <w:rFonts w:hAnsi="宋体" w:eastAsia="宋体"/>
                <w:sz w:val="21"/>
                <w:szCs w:val="21"/>
              </w:rPr>
            </w:pPr>
            <w:r>
              <w:rPr>
                <w:rFonts w:hint="eastAsia" w:hAnsi="宋体" w:eastAsia="宋体"/>
                <w:sz w:val="21"/>
                <w:szCs w:val="21"/>
              </w:rPr>
              <w:t>农业生物环境与能源工程专业本科实践教学改革与创新，</w:t>
            </w:r>
            <w:r>
              <w:rPr>
                <w:rFonts w:hAnsi="宋体" w:eastAsia="宋体"/>
                <w:sz w:val="21"/>
                <w:szCs w:val="21"/>
              </w:rPr>
              <w:t>河南省教育厅，河南省</w:t>
            </w:r>
            <w:r>
              <w:rPr>
                <w:rFonts w:hint="eastAsia" w:hAnsi="宋体" w:eastAsia="宋体"/>
                <w:sz w:val="21"/>
                <w:szCs w:val="21"/>
              </w:rPr>
              <w:t>高等教育教学成果二等奖，2</w:t>
            </w:r>
            <w:r>
              <w:rPr>
                <w:rFonts w:hAnsi="宋体" w:eastAsia="宋体"/>
                <w:sz w:val="21"/>
                <w:szCs w:val="21"/>
              </w:rPr>
              <w:t>020年</w:t>
            </w:r>
            <w:r>
              <w:rPr>
                <w:rFonts w:hint="eastAsia" w:hAnsi="宋体" w:eastAsia="宋体"/>
                <w:sz w:val="21"/>
                <w:szCs w:val="21"/>
              </w:rPr>
              <w:t>5</w:t>
            </w:r>
            <w:r>
              <w:rPr>
                <w:rFonts w:hAnsi="宋体" w:eastAsia="宋体"/>
                <w:sz w:val="21"/>
                <w:szCs w:val="21"/>
              </w:rPr>
              <w:t>月，</w:t>
            </w:r>
            <w:r>
              <w:rPr>
                <w:rFonts w:hint="eastAsia" w:hAnsi="宋体" w:eastAsia="宋体"/>
                <w:sz w:val="21"/>
                <w:szCs w:val="21"/>
              </w:rPr>
              <w:t>证</w:t>
            </w:r>
            <w:r>
              <w:rPr>
                <w:rFonts w:hAnsi="宋体" w:eastAsia="宋体"/>
                <w:sz w:val="21"/>
                <w:szCs w:val="21"/>
              </w:rPr>
              <w:t>书编号：</w:t>
            </w:r>
            <w:r>
              <w:rPr>
                <w:rFonts w:hint="eastAsia" w:hAnsi="宋体" w:eastAsia="宋体"/>
                <w:sz w:val="21"/>
                <w:szCs w:val="21"/>
              </w:rPr>
              <w:t>豫教[2020]09272号</w:t>
            </w:r>
          </w:p>
          <w:p>
            <w:pPr>
              <w:numPr>
                <w:ilvl w:val="0"/>
                <w:numId w:val="2"/>
              </w:numPr>
              <w:spacing w:line="360" w:lineRule="auto"/>
              <w:rPr>
                <w:rFonts w:hAnsi="宋体" w:eastAsia="宋体"/>
                <w:sz w:val="21"/>
                <w:szCs w:val="21"/>
              </w:rPr>
            </w:pPr>
            <w:r>
              <w:rPr>
                <w:rFonts w:hint="eastAsia" w:hAnsi="宋体" w:eastAsia="宋体"/>
                <w:sz w:val="21"/>
                <w:szCs w:val="21"/>
              </w:rPr>
              <w:t>秸秆类生物质光合制氢光热质传递理论与调控机制</w:t>
            </w:r>
            <w:r>
              <w:rPr>
                <w:rFonts w:hAnsi="宋体" w:eastAsia="宋体"/>
                <w:sz w:val="21"/>
                <w:szCs w:val="21"/>
              </w:rPr>
              <w:t>，河南省教育厅，科技成果一等奖，2020年</w:t>
            </w:r>
            <w:r>
              <w:rPr>
                <w:rFonts w:hint="eastAsia" w:hAnsi="宋体" w:eastAsia="宋体"/>
                <w:sz w:val="21"/>
                <w:szCs w:val="21"/>
              </w:rPr>
              <w:t>5月，证</w:t>
            </w:r>
            <w:r>
              <w:rPr>
                <w:rFonts w:hAnsi="宋体" w:eastAsia="宋体"/>
                <w:sz w:val="21"/>
                <w:szCs w:val="21"/>
              </w:rPr>
              <w:t>书编号：</w:t>
            </w:r>
            <w:r>
              <w:rPr>
                <w:rFonts w:hint="eastAsia" w:hAnsi="宋体" w:eastAsia="宋体"/>
                <w:sz w:val="21"/>
                <w:szCs w:val="21"/>
              </w:rPr>
              <w:t>豫教[2020]8202号</w:t>
            </w:r>
          </w:p>
          <w:p>
            <w:pPr>
              <w:numPr>
                <w:ilvl w:val="0"/>
                <w:numId w:val="2"/>
              </w:numPr>
              <w:spacing w:line="360" w:lineRule="auto"/>
              <w:rPr>
                <w:rFonts w:hAnsi="宋体" w:eastAsia="宋体"/>
                <w:sz w:val="21"/>
                <w:szCs w:val="21"/>
              </w:rPr>
            </w:pPr>
            <w:r>
              <w:rPr>
                <w:rFonts w:hint="eastAsia" w:hAnsi="宋体" w:eastAsia="宋体"/>
                <w:sz w:val="21"/>
                <w:szCs w:val="21"/>
              </w:rPr>
              <w:t>多能互补型农业生物质厌氧消化关键技术及应用，中国可再生能源学会，中国可再生能源学会科技进步三等奖，2</w:t>
            </w:r>
            <w:r>
              <w:rPr>
                <w:rFonts w:hAnsi="宋体" w:eastAsia="宋体"/>
                <w:sz w:val="21"/>
                <w:szCs w:val="21"/>
              </w:rPr>
              <w:t>020年</w:t>
            </w:r>
            <w:r>
              <w:rPr>
                <w:rFonts w:hint="eastAsia" w:hAnsi="宋体" w:eastAsia="宋体"/>
                <w:sz w:val="21"/>
                <w:szCs w:val="21"/>
              </w:rPr>
              <w:t>9</w:t>
            </w:r>
            <w:r>
              <w:rPr>
                <w:rFonts w:hAnsi="宋体" w:eastAsia="宋体"/>
                <w:sz w:val="21"/>
                <w:szCs w:val="21"/>
              </w:rPr>
              <w:t>月，证书编号：KXJJ-20-3-12</w:t>
            </w:r>
          </w:p>
          <w:p>
            <w:pPr>
              <w:numPr>
                <w:ilvl w:val="0"/>
                <w:numId w:val="2"/>
              </w:numPr>
              <w:spacing w:line="360" w:lineRule="auto"/>
              <w:rPr>
                <w:rFonts w:hAnsi="宋体" w:eastAsia="宋体"/>
                <w:sz w:val="21"/>
                <w:szCs w:val="21"/>
              </w:rPr>
            </w:pPr>
            <w:r>
              <w:rPr>
                <w:rFonts w:hint="eastAsia" w:hAnsi="宋体" w:eastAsia="宋体"/>
                <w:sz w:val="21"/>
                <w:szCs w:val="21"/>
              </w:rPr>
              <w:t>混合发酵产甲烷动力学分析，中国沼气学会，杭能杯中国沼气学会征文大赛二等奖，2</w:t>
            </w:r>
            <w:r>
              <w:rPr>
                <w:rFonts w:hAnsi="宋体" w:eastAsia="宋体"/>
                <w:sz w:val="21"/>
                <w:szCs w:val="21"/>
              </w:rPr>
              <w:t>018年</w:t>
            </w:r>
            <w:r>
              <w:rPr>
                <w:rFonts w:hint="eastAsia" w:hAnsi="宋体" w:eastAsia="宋体"/>
                <w:sz w:val="21"/>
                <w:szCs w:val="21"/>
              </w:rPr>
              <w:t>1</w:t>
            </w:r>
            <w:r>
              <w:rPr>
                <w:rFonts w:hAnsi="宋体" w:eastAsia="宋体"/>
                <w:sz w:val="21"/>
                <w:szCs w:val="21"/>
              </w:rPr>
              <w:t>0月</w:t>
            </w:r>
          </w:p>
          <w:p>
            <w:pPr>
              <w:numPr>
                <w:ilvl w:val="0"/>
                <w:numId w:val="2"/>
              </w:numPr>
              <w:spacing w:line="360" w:lineRule="auto"/>
              <w:rPr>
                <w:rFonts w:hAnsi="宋体" w:eastAsia="宋体"/>
                <w:sz w:val="21"/>
                <w:szCs w:val="21"/>
              </w:rPr>
            </w:pPr>
            <w:r>
              <w:rPr>
                <w:rFonts w:hint="eastAsia" w:hAnsi="宋体" w:eastAsia="宋体"/>
                <w:sz w:val="21"/>
                <w:szCs w:val="21"/>
              </w:rPr>
              <w:t>农业生物环境与能源工程专业本科实践教学改革与创新，河南农业大学，2</w:t>
            </w:r>
            <w:r>
              <w:rPr>
                <w:rFonts w:hAnsi="宋体" w:eastAsia="宋体"/>
                <w:sz w:val="21"/>
                <w:szCs w:val="21"/>
              </w:rPr>
              <w:t>019年校级教学成果一等奖，</w:t>
            </w:r>
            <w:r>
              <w:rPr>
                <w:rFonts w:hint="eastAsia" w:hAnsi="宋体" w:eastAsia="宋体"/>
                <w:sz w:val="21"/>
                <w:szCs w:val="21"/>
              </w:rPr>
              <w:t>2</w:t>
            </w:r>
            <w:r>
              <w:rPr>
                <w:rFonts w:hAnsi="宋体" w:eastAsia="宋体"/>
                <w:sz w:val="21"/>
                <w:szCs w:val="21"/>
              </w:rPr>
              <w:t>020年</w:t>
            </w:r>
            <w:r>
              <w:rPr>
                <w:rFonts w:hint="eastAsia" w:hAnsi="宋体" w:eastAsia="宋体"/>
                <w:sz w:val="21"/>
                <w:szCs w:val="21"/>
              </w:rPr>
              <w:t>1</w:t>
            </w:r>
            <w:r>
              <w:rPr>
                <w:rFonts w:hAnsi="宋体" w:eastAsia="宋体"/>
                <w:sz w:val="21"/>
                <w:szCs w:val="21"/>
              </w:rPr>
              <w:t>月</w:t>
            </w:r>
          </w:p>
          <w:p>
            <w:pPr>
              <w:numPr>
                <w:ilvl w:val="0"/>
                <w:numId w:val="2"/>
              </w:numPr>
              <w:spacing w:line="360" w:lineRule="auto"/>
              <w:rPr>
                <w:rFonts w:hAnsi="宋体" w:eastAsia="宋体"/>
                <w:sz w:val="21"/>
                <w:szCs w:val="21"/>
              </w:rPr>
            </w:pPr>
            <w:r>
              <w:rPr>
                <w:rFonts w:hint="eastAsia" w:hAnsi="宋体" w:eastAsia="宋体"/>
                <w:sz w:val="21"/>
                <w:szCs w:val="21"/>
              </w:rPr>
              <w:t>基于太阳能多效利用的生物制氢可控螺旋弥射光纤系统设计，教育部高等学校农业工程类专业教学指导委员会，全国大学生农建相关专业创新创业竞赛特等奖，2018年8月，</w:t>
            </w:r>
            <w:r>
              <w:rPr>
                <w:rFonts w:hAnsi="宋体" w:eastAsia="宋体"/>
                <w:sz w:val="21"/>
                <w:szCs w:val="21"/>
              </w:rPr>
              <w:t>证书编号：</w:t>
            </w:r>
            <w:r>
              <w:rPr>
                <w:rFonts w:hint="eastAsia" w:hAnsi="宋体" w:eastAsia="宋体"/>
                <w:sz w:val="21"/>
                <w:szCs w:val="21"/>
              </w:rPr>
              <w:t>201803-特-01</w:t>
            </w:r>
          </w:p>
          <w:p>
            <w:pPr>
              <w:numPr>
                <w:ilvl w:val="0"/>
                <w:numId w:val="2"/>
              </w:numPr>
              <w:spacing w:line="360" w:lineRule="auto"/>
              <w:rPr>
                <w:rFonts w:hAnsi="宋体" w:eastAsia="宋体"/>
                <w:sz w:val="21"/>
                <w:szCs w:val="21"/>
              </w:rPr>
            </w:pPr>
            <w:r>
              <w:rPr>
                <w:rFonts w:hint="eastAsia" w:hAnsi="宋体" w:eastAsia="宋体"/>
                <w:sz w:val="21"/>
                <w:szCs w:val="21"/>
              </w:rPr>
              <w:t>太阳能驱动的有机朗肯循环膨胀机性能研究，中国可再生能源学会，全国大学生可再生能源科技竞赛获得二等奖，2018年8月，</w:t>
            </w:r>
            <w:r>
              <w:rPr>
                <w:rFonts w:hAnsi="宋体" w:eastAsia="宋体"/>
                <w:sz w:val="21"/>
                <w:szCs w:val="21"/>
              </w:rPr>
              <w:t>证书编号：</w:t>
            </w:r>
            <w:r>
              <w:rPr>
                <w:rFonts w:hint="eastAsia" w:hAnsi="宋体" w:eastAsia="宋体"/>
                <w:sz w:val="21"/>
                <w:szCs w:val="21"/>
              </w:rPr>
              <w:t>2018-KZS-011</w:t>
            </w:r>
          </w:p>
          <w:p>
            <w:pPr>
              <w:numPr>
                <w:ilvl w:val="0"/>
                <w:numId w:val="2"/>
              </w:numPr>
              <w:spacing w:line="360" w:lineRule="auto"/>
              <w:rPr>
                <w:rFonts w:hAnsi="宋体" w:eastAsia="宋体"/>
                <w:sz w:val="21"/>
                <w:szCs w:val="21"/>
              </w:rPr>
            </w:pPr>
            <w:r>
              <w:rPr>
                <w:rFonts w:hint="eastAsia" w:hAnsi="宋体" w:eastAsia="宋体"/>
                <w:sz w:val="21"/>
                <w:szCs w:val="21"/>
              </w:rPr>
              <w:t>家用便携可移动式餐厨垃圾产氢装置，河南省教育厅，</w:t>
            </w:r>
            <w:r>
              <w:rPr>
                <w:rFonts w:hAnsi="宋体" w:eastAsia="宋体"/>
                <w:sz w:val="21"/>
                <w:szCs w:val="21"/>
              </w:rPr>
              <w:t>“挑战杯”大学生课外学术科技作品竞赛获得三等奖</w:t>
            </w:r>
            <w:r>
              <w:rPr>
                <w:rFonts w:hint="eastAsia" w:hAnsi="宋体" w:eastAsia="宋体"/>
                <w:sz w:val="21"/>
                <w:szCs w:val="21"/>
              </w:rPr>
              <w:t>，2019年6月</w:t>
            </w:r>
          </w:p>
          <w:p>
            <w:pPr>
              <w:spacing w:line="360" w:lineRule="auto"/>
              <w:rPr>
                <w:rFonts w:ascii="Times New Roman" w:hAnsi="Times New Roman" w:eastAsiaTheme="minorEastAsia"/>
                <w:b/>
                <w:sz w:val="21"/>
                <w:szCs w:val="21"/>
              </w:rPr>
            </w:pPr>
            <w:r>
              <w:rPr>
                <w:rFonts w:ascii="Times New Roman" w:hAnsi="Times New Roman" w:eastAsiaTheme="minorEastAsia"/>
                <w:b/>
                <w:sz w:val="21"/>
                <w:szCs w:val="21"/>
              </w:rPr>
              <w:t>（</w:t>
            </w:r>
            <w:r>
              <w:rPr>
                <w:rFonts w:hint="eastAsia" w:ascii="Times New Roman" w:hAnsi="Times New Roman" w:eastAsiaTheme="minorEastAsia"/>
                <w:b/>
                <w:sz w:val="21"/>
                <w:szCs w:val="21"/>
              </w:rPr>
              <w:t>3）获得专利</w:t>
            </w:r>
          </w:p>
          <w:p>
            <w:pPr>
              <w:numPr>
                <w:ilvl w:val="0"/>
                <w:numId w:val="3"/>
              </w:numPr>
              <w:spacing w:line="360" w:lineRule="auto"/>
              <w:rPr>
                <w:rFonts w:eastAsia="宋体"/>
                <w:sz w:val="21"/>
                <w:szCs w:val="21"/>
              </w:rPr>
            </w:pPr>
            <w:r>
              <w:rPr>
                <w:rFonts w:hint="eastAsia" w:hAnsi="宋体" w:eastAsia="宋体"/>
                <w:sz w:val="21"/>
                <w:szCs w:val="21"/>
              </w:rPr>
              <w:t>上燃均衡供氧式生物质颗粒炊事炉</w:t>
            </w:r>
            <w:r>
              <w:rPr>
                <w:rFonts w:hAnsi="宋体" w:eastAsia="宋体"/>
                <w:sz w:val="21"/>
                <w:szCs w:val="21"/>
              </w:rPr>
              <w:t>，中国，发明专利，专利号：</w:t>
            </w:r>
            <w:r>
              <w:rPr>
                <w:rFonts w:eastAsia="宋体"/>
                <w:sz w:val="21"/>
                <w:szCs w:val="21"/>
              </w:rPr>
              <w:t>ZL201610062619.4，</w:t>
            </w:r>
            <w:r>
              <w:rPr>
                <w:rFonts w:hAnsi="宋体" w:eastAsia="宋体"/>
                <w:sz w:val="21"/>
                <w:szCs w:val="21"/>
              </w:rPr>
              <w:t>发明人：</w:t>
            </w:r>
            <w:r>
              <w:rPr>
                <w:rFonts w:hint="eastAsia" w:hAnsi="宋体" w:eastAsia="宋体"/>
                <w:sz w:val="21"/>
                <w:szCs w:val="21"/>
              </w:rPr>
              <w:t>荆艳艳、甄宝中、胡建军、张全国、李亚猛，授权时间：</w:t>
            </w:r>
            <w:r>
              <w:rPr>
                <w:rFonts w:hAnsi="宋体" w:eastAsia="宋体"/>
                <w:sz w:val="21"/>
                <w:szCs w:val="21"/>
              </w:rPr>
              <w:t>2017.12.29</w:t>
            </w:r>
          </w:p>
          <w:p>
            <w:pPr>
              <w:numPr>
                <w:ilvl w:val="0"/>
                <w:numId w:val="3"/>
              </w:numPr>
              <w:spacing w:line="360" w:lineRule="auto"/>
              <w:rPr>
                <w:rFonts w:hAnsi="宋体" w:eastAsia="宋体"/>
                <w:sz w:val="21"/>
                <w:szCs w:val="21"/>
              </w:rPr>
            </w:pPr>
            <w:r>
              <w:rPr>
                <w:rFonts w:hint="eastAsia" w:hAnsi="宋体" w:eastAsia="宋体"/>
                <w:sz w:val="21"/>
                <w:szCs w:val="21"/>
              </w:rPr>
              <w:t>风力发电电机状态监控系统V1.0，中国，计算机软件著作权，登记号：2020SR0817965，著作权人：荆艳艳，授权时间：2020.7.23</w:t>
            </w:r>
          </w:p>
          <w:p>
            <w:pPr>
              <w:numPr>
                <w:ilvl w:val="0"/>
                <w:numId w:val="3"/>
              </w:numPr>
              <w:spacing w:line="360" w:lineRule="auto"/>
              <w:rPr>
                <w:rFonts w:hAnsi="宋体" w:eastAsia="宋体"/>
                <w:sz w:val="21"/>
                <w:szCs w:val="21"/>
              </w:rPr>
            </w:pPr>
            <w:r>
              <w:rPr>
                <w:rFonts w:hint="eastAsia" w:hAnsi="宋体" w:eastAsia="宋体"/>
                <w:sz w:val="21"/>
                <w:szCs w:val="21"/>
              </w:rPr>
              <w:t>沼气罐发酵智慧管理系统V1.0，中国，计算机软件著作权，登记号：2020SR0873953，著作权人：荆艳艳，授权时间：2020.08.04</w:t>
            </w:r>
          </w:p>
          <w:p>
            <w:pPr>
              <w:numPr>
                <w:ilvl w:val="0"/>
                <w:numId w:val="3"/>
              </w:numPr>
              <w:spacing w:line="360" w:lineRule="auto"/>
              <w:rPr>
                <w:rFonts w:hAnsi="宋体" w:eastAsia="宋体"/>
                <w:sz w:val="21"/>
                <w:szCs w:val="21"/>
              </w:rPr>
            </w:pPr>
            <w:r>
              <w:rPr>
                <w:rFonts w:hint="eastAsia" w:hAnsi="宋体" w:eastAsia="宋体"/>
                <w:sz w:val="21"/>
                <w:szCs w:val="21"/>
              </w:rPr>
              <w:t>非结构化网格供风系统的生物质炉灶，</w:t>
            </w:r>
            <w:r>
              <w:rPr>
                <w:rFonts w:hAnsi="宋体" w:eastAsia="宋体"/>
                <w:sz w:val="21"/>
                <w:szCs w:val="21"/>
              </w:rPr>
              <w:t>中国，发明专利，专利号：ZL201610062535.0，发明人：</w:t>
            </w:r>
            <w:r>
              <w:rPr>
                <w:rFonts w:hint="eastAsia" w:hAnsi="宋体" w:eastAsia="宋体"/>
                <w:sz w:val="21"/>
                <w:szCs w:val="21"/>
              </w:rPr>
              <w:t>周雪花、胡建军、甄宝中、荆艳艳、李亚猛，授权时间：</w:t>
            </w:r>
            <w:r>
              <w:rPr>
                <w:rFonts w:hAnsi="宋体" w:eastAsia="宋体"/>
                <w:sz w:val="21"/>
                <w:szCs w:val="21"/>
              </w:rPr>
              <w:t>2017.10.17</w:t>
            </w:r>
          </w:p>
          <w:p>
            <w:pPr>
              <w:numPr>
                <w:ilvl w:val="0"/>
                <w:numId w:val="3"/>
              </w:numPr>
              <w:spacing w:line="360" w:lineRule="auto"/>
              <w:rPr>
                <w:rFonts w:hAnsi="宋体" w:eastAsia="宋体"/>
                <w:sz w:val="21"/>
                <w:szCs w:val="21"/>
              </w:rPr>
            </w:pPr>
            <w:r>
              <w:rPr>
                <w:rFonts w:hint="eastAsia" w:hAnsi="宋体" w:eastAsia="宋体"/>
                <w:sz w:val="21"/>
                <w:szCs w:val="21"/>
              </w:rPr>
              <w:t>一种暗发酵光合作用联合产氢装置及其产氢方法，</w:t>
            </w:r>
            <w:r>
              <w:rPr>
                <w:rFonts w:hAnsi="宋体" w:eastAsia="宋体"/>
                <w:sz w:val="21"/>
                <w:szCs w:val="21"/>
              </w:rPr>
              <w:t>中国，发明专利，专利号：ZL201510552309.6，发明人：</w:t>
            </w:r>
            <w:r>
              <w:rPr>
                <w:rFonts w:hint="eastAsia" w:hAnsi="宋体" w:eastAsia="宋体"/>
                <w:sz w:val="21"/>
                <w:szCs w:val="21"/>
              </w:rPr>
              <w:t>张全国、陈笑、王毅、种东风、荆艳艳，授权时间：</w:t>
            </w:r>
            <w:r>
              <w:rPr>
                <w:rFonts w:hAnsi="宋体" w:eastAsia="宋体"/>
                <w:sz w:val="21"/>
                <w:szCs w:val="21"/>
              </w:rPr>
              <w:t>2017.09.22</w:t>
            </w:r>
          </w:p>
          <w:p>
            <w:pPr>
              <w:numPr>
                <w:ilvl w:val="0"/>
                <w:numId w:val="3"/>
              </w:numPr>
              <w:spacing w:line="360" w:lineRule="auto"/>
              <w:rPr>
                <w:rFonts w:hAnsi="宋体" w:eastAsia="宋体"/>
                <w:sz w:val="21"/>
                <w:szCs w:val="21"/>
              </w:rPr>
            </w:pPr>
            <w:r>
              <w:rPr>
                <w:rFonts w:hint="eastAsia" w:hAnsi="宋体" w:eastAsia="宋体"/>
                <w:sz w:val="21"/>
                <w:szCs w:val="21"/>
              </w:rPr>
              <w:t>一种塔式光合细菌连续产氢反应系统及其产氢方法，</w:t>
            </w:r>
            <w:r>
              <w:rPr>
                <w:rFonts w:hAnsi="宋体" w:eastAsia="宋体"/>
                <w:sz w:val="21"/>
                <w:szCs w:val="21"/>
              </w:rPr>
              <w:t>中国，发明专利，专利号：ZL201510997545.9，发明人：</w:t>
            </w:r>
            <w:r>
              <w:rPr>
                <w:rFonts w:hint="eastAsia" w:hAnsi="宋体" w:eastAsia="宋体"/>
                <w:sz w:val="21"/>
                <w:szCs w:val="21"/>
              </w:rPr>
              <w:t>张全国、路朝阳、王毅、周雪花、荆艳艳，授权时间：</w:t>
            </w:r>
            <w:r>
              <w:rPr>
                <w:rFonts w:hAnsi="宋体" w:eastAsia="宋体"/>
                <w:sz w:val="21"/>
                <w:szCs w:val="21"/>
              </w:rPr>
              <w:t>2018.06.12</w:t>
            </w:r>
          </w:p>
          <w:p>
            <w:pPr>
              <w:numPr>
                <w:ilvl w:val="0"/>
                <w:numId w:val="3"/>
              </w:numPr>
              <w:spacing w:line="360" w:lineRule="auto"/>
              <w:rPr>
                <w:rFonts w:hAnsi="宋体" w:eastAsia="宋体"/>
                <w:sz w:val="21"/>
                <w:szCs w:val="21"/>
              </w:rPr>
            </w:pPr>
            <w:r>
              <w:rPr>
                <w:rFonts w:hint="eastAsia" w:hAnsi="宋体" w:eastAsia="宋体"/>
                <w:sz w:val="21"/>
                <w:szCs w:val="21"/>
              </w:rPr>
              <w:t>序批式同步糖化光合生物制氢反应器及其制氢操作方法，</w:t>
            </w:r>
            <w:r>
              <w:rPr>
                <w:rFonts w:hAnsi="宋体" w:eastAsia="宋体"/>
                <w:sz w:val="21"/>
                <w:szCs w:val="21"/>
              </w:rPr>
              <w:t>中国，发明专利，专利号：ZL201710187094.1，发明人：</w:t>
            </w:r>
            <w:r>
              <w:rPr>
                <w:rFonts w:hint="eastAsia" w:hAnsi="宋体" w:eastAsia="宋体"/>
                <w:sz w:val="21"/>
                <w:szCs w:val="21"/>
              </w:rPr>
              <w:t>张全国、李亚猛、张志萍、朱胜楠、荆艳艳，授权时间：</w:t>
            </w:r>
            <w:r>
              <w:rPr>
                <w:rFonts w:hAnsi="宋体" w:eastAsia="宋体"/>
                <w:sz w:val="21"/>
                <w:szCs w:val="21"/>
              </w:rPr>
              <w:t>2019.5.17</w:t>
            </w:r>
          </w:p>
          <w:p>
            <w:pPr>
              <w:spacing w:line="360" w:lineRule="auto"/>
              <w:rPr>
                <w:rFonts w:ascii="Times New Roman" w:hAnsi="Times New Roman" w:eastAsiaTheme="minorEastAsia"/>
                <w:b/>
                <w:sz w:val="21"/>
                <w:szCs w:val="21"/>
              </w:rPr>
            </w:pPr>
            <w:r>
              <w:rPr>
                <w:rFonts w:ascii="Times New Roman" w:hAnsi="Times New Roman" w:eastAsiaTheme="minorEastAsia"/>
                <w:b/>
                <w:sz w:val="21"/>
                <w:szCs w:val="21"/>
              </w:rPr>
              <w:t>（</w:t>
            </w:r>
            <w:r>
              <w:rPr>
                <w:rFonts w:hint="eastAsia" w:ascii="Times New Roman" w:hAnsi="Times New Roman" w:eastAsiaTheme="minorEastAsia"/>
                <w:b/>
                <w:sz w:val="21"/>
                <w:szCs w:val="21"/>
              </w:rPr>
              <w:t>4）成果评价</w:t>
            </w:r>
          </w:p>
          <w:p>
            <w:pPr>
              <w:spacing w:line="360" w:lineRule="auto"/>
              <w:rPr>
                <w:rFonts w:hAnsi="宋体" w:eastAsia="宋体"/>
                <w:sz w:val="21"/>
                <w:szCs w:val="21"/>
              </w:rPr>
            </w:pPr>
            <w:r>
              <w:rPr>
                <w:rFonts w:hint="eastAsia" w:hAnsi="宋体" w:eastAsia="宋体"/>
                <w:sz w:val="21"/>
                <w:szCs w:val="21"/>
              </w:rPr>
              <w:t>[1] 超微秸秆粉光合生物制氢体系多相流特性与技术研究，成果水平为国内领先，</w:t>
            </w:r>
            <w:r>
              <w:rPr>
                <w:rFonts w:hAnsi="宋体" w:eastAsia="宋体"/>
                <w:sz w:val="21"/>
                <w:szCs w:val="21"/>
              </w:rPr>
              <w:t>2019</w:t>
            </w:r>
            <w:r>
              <w:rPr>
                <w:rFonts w:hint="eastAsia" w:hAnsi="宋体" w:eastAsia="宋体"/>
                <w:sz w:val="21"/>
                <w:szCs w:val="21"/>
              </w:rPr>
              <w:t>年3月通过评价，完成人排名第1</w:t>
            </w:r>
          </w:p>
          <w:p>
            <w:pPr>
              <w:spacing w:line="360" w:lineRule="auto"/>
              <w:rPr>
                <w:rFonts w:hAnsi="宋体" w:eastAsia="宋体"/>
                <w:sz w:val="21"/>
                <w:szCs w:val="21"/>
              </w:rPr>
            </w:pPr>
            <w:r>
              <w:rPr>
                <w:rFonts w:hint="eastAsia" w:hAnsi="宋体" w:eastAsia="宋体"/>
                <w:sz w:val="21"/>
                <w:szCs w:val="21"/>
              </w:rPr>
              <w:t>[2] 生物质暗-光联合生物制氢技术与装置，成果水平为国际先进，2018年12月通过评价，完成人排名第5</w:t>
            </w:r>
          </w:p>
          <w:p>
            <w:pPr>
              <w:spacing w:line="360" w:lineRule="auto"/>
              <w:rPr>
                <w:rFonts w:hAnsi="宋体" w:eastAsia="宋体"/>
                <w:sz w:val="21"/>
                <w:szCs w:val="21"/>
              </w:rPr>
            </w:pPr>
            <w:r>
              <w:rPr>
                <w:rFonts w:hint="eastAsia" w:hAnsi="宋体" w:eastAsia="宋体"/>
                <w:sz w:val="21"/>
                <w:szCs w:val="21"/>
              </w:rPr>
              <w:t>[3] 微纳级秸秆类生物质制备工艺及其降解特性研究，成果水平为国内领先，</w:t>
            </w:r>
            <w:r>
              <w:rPr>
                <w:rFonts w:hAnsi="宋体" w:eastAsia="宋体"/>
                <w:sz w:val="21"/>
                <w:szCs w:val="21"/>
              </w:rPr>
              <w:t>2019</w:t>
            </w:r>
            <w:r>
              <w:rPr>
                <w:rFonts w:hint="eastAsia" w:hAnsi="宋体" w:eastAsia="宋体"/>
                <w:sz w:val="21"/>
                <w:szCs w:val="21"/>
              </w:rPr>
              <w:t>年3月通过评价，完成人排名第7</w:t>
            </w:r>
          </w:p>
          <w:p>
            <w:pPr>
              <w:spacing w:line="360" w:lineRule="auto"/>
              <w:rPr>
                <w:rFonts w:hAnsi="宋体" w:eastAsia="宋体"/>
                <w:sz w:val="21"/>
                <w:szCs w:val="21"/>
              </w:rPr>
            </w:pPr>
          </w:p>
        </w:tc>
      </w:tr>
    </w:tbl>
    <w:p>
      <w:pPr>
        <w:rPr>
          <w:rFonts w:eastAsia="黑体"/>
          <w:szCs w:val="20"/>
        </w:rPr>
      </w:pP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9135" w:type="dxa"/>
            <w:tcBorders>
              <w:top w:val="single" w:color="auto" w:sz="4" w:space="0"/>
              <w:left w:val="single" w:color="auto" w:sz="4" w:space="0"/>
              <w:bottom w:val="single" w:color="auto" w:sz="4" w:space="0"/>
              <w:right w:val="single" w:color="auto" w:sz="4" w:space="0"/>
            </w:tcBorders>
            <w:vAlign w:val="center"/>
          </w:tcPr>
          <w:p>
            <w:pPr>
              <w:snapToGrid w:val="0"/>
              <w:jc w:val="left"/>
              <w:rPr>
                <w:rFonts w:ascii="仿宋_GB2312" w:hAnsi="仿宋"/>
                <w:bCs/>
                <w:sz w:val="21"/>
                <w:szCs w:val="21"/>
              </w:rPr>
            </w:pPr>
            <w:r>
              <w:rPr>
                <w:rFonts w:hint="eastAsia" w:ascii="仿宋_GB2312" w:hAnsi="仿宋"/>
                <w:bCs/>
                <w:sz w:val="21"/>
                <w:szCs w:val="21"/>
              </w:rPr>
              <w:t>2、代表性著作、论文</w:t>
            </w:r>
          </w:p>
          <w:p>
            <w:pPr>
              <w:snapToGrid w:val="0"/>
              <w:jc w:val="left"/>
              <w:rPr>
                <w:rFonts w:ascii="仿宋_GB2312" w:hAnsi="仿宋"/>
                <w:bCs/>
                <w:sz w:val="21"/>
                <w:szCs w:val="21"/>
              </w:rPr>
            </w:pPr>
            <w:r>
              <w:rPr>
                <w:rFonts w:hint="eastAsia" w:ascii="仿宋_GB2312" w:hAnsi="仿宋"/>
                <w:bCs/>
                <w:sz w:val="21"/>
                <w:szCs w:val="21"/>
              </w:rPr>
              <w:t>（请注明著作或论文名称、出版单位或发表刊物名称、期号、出版或发表时间、所有著、作者姓名以及作者排序等）</w:t>
            </w:r>
          </w:p>
          <w:p>
            <w:pPr>
              <w:snapToGrid w:val="0"/>
              <w:jc w:val="left"/>
              <w:rPr>
                <w:rFonts w:ascii="仿宋_GB2312" w:hAnsi="仿宋"/>
                <w:bCs/>
                <w:sz w:val="21"/>
                <w:szCs w:val="21"/>
              </w:rPr>
            </w:pPr>
          </w:p>
          <w:p>
            <w:pPr>
              <w:numPr>
                <w:ilvl w:val="0"/>
                <w:numId w:val="4"/>
              </w:numPr>
              <w:spacing w:line="360" w:lineRule="auto"/>
              <w:rPr>
                <w:rFonts w:ascii="Times New Roman" w:hAnsi="Times New Roman" w:eastAsia="宋体"/>
                <w:sz w:val="21"/>
                <w:szCs w:val="21"/>
              </w:rPr>
            </w:pPr>
            <w:r>
              <w:rPr>
                <w:rFonts w:ascii="Times New Roman" w:hAnsi="Times New Roman" w:eastAsia="宋体"/>
                <w:sz w:val="21"/>
                <w:szCs w:val="21"/>
              </w:rPr>
              <w:t>Yanyan Jing, Fang Li, Yameng Li, Peng Jin, Shengnan Zhu. Statistical optimization of simultaneous</w:t>
            </w:r>
            <w:r>
              <w:rPr>
                <w:rFonts w:hint="eastAsia" w:ascii="Times New Roman" w:hAnsi="Times New Roman" w:eastAsia="宋体"/>
                <w:sz w:val="21"/>
                <w:szCs w:val="21"/>
              </w:rPr>
              <w:t xml:space="preserve"> </w:t>
            </w:r>
            <w:r>
              <w:rPr>
                <w:rFonts w:ascii="Times New Roman" w:hAnsi="Times New Roman" w:eastAsia="宋体"/>
                <w:sz w:val="21"/>
                <w:szCs w:val="21"/>
              </w:rPr>
              <w:t>saccharification fermentative hydrogen</w:t>
            </w:r>
            <w:r>
              <w:rPr>
                <w:rFonts w:hint="eastAsia" w:ascii="Times New Roman" w:hAnsi="Times New Roman" w:eastAsia="宋体"/>
                <w:sz w:val="21"/>
                <w:szCs w:val="21"/>
              </w:rPr>
              <w:t xml:space="preserve"> </w:t>
            </w:r>
            <w:r>
              <w:rPr>
                <w:rFonts w:ascii="Times New Roman" w:hAnsi="Times New Roman" w:eastAsia="宋体"/>
                <w:sz w:val="21"/>
                <w:szCs w:val="21"/>
              </w:rPr>
              <w:t>production from corn stover [J]. Bioengineered, 2020,11(1):428-438</w:t>
            </w:r>
          </w:p>
          <w:p>
            <w:pPr>
              <w:numPr>
                <w:ilvl w:val="0"/>
                <w:numId w:val="4"/>
              </w:numPr>
              <w:spacing w:line="360" w:lineRule="auto"/>
              <w:rPr>
                <w:rFonts w:ascii="Times New Roman" w:hAnsi="Times New Roman" w:eastAsia="宋体"/>
                <w:sz w:val="21"/>
                <w:szCs w:val="21"/>
              </w:rPr>
            </w:pPr>
            <w:r>
              <w:rPr>
                <w:rFonts w:hint="eastAsia" w:ascii="Times New Roman" w:hAnsi="Times New Roman" w:eastAsia="宋体"/>
                <w:sz w:val="21"/>
                <w:szCs w:val="21"/>
              </w:rPr>
              <w:t>荆艳艳， 李芳， 王毅， 王鹏飞， 董丛丛.</w:t>
            </w:r>
            <w:r>
              <w:rPr>
                <w:rFonts w:ascii="Times New Roman" w:hAnsi="Times New Roman" w:eastAsia="宋体"/>
                <w:sz w:val="21"/>
                <w:szCs w:val="21"/>
              </w:rPr>
              <w:t xml:space="preserve"> </w:t>
            </w:r>
            <w:r>
              <w:rPr>
                <w:rFonts w:hint="eastAsia" w:ascii="Times New Roman" w:hAnsi="Times New Roman" w:eastAsia="宋体"/>
                <w:sz w:val="21"/>
                <w:szCs w:val="21"/>
              </w:rPr>
              <w:t>底物浓度对光合产氢过程动力学的影响</w:t>
            </w:r>
            <w:r>
              <w:rPr>
                <w:rFonts w:ascii="Times New Roman" w:hAnsi="Times New Roman" w:eastAsia="宋体"/>
                <w:sz w:val="21"/>
                <w:szCs w:val="21"/>
              </w:rPr>
              <w:t>[J].</w:t>
            </w:r>
            <w:r>
              <w:rPr>
                <w:rFonts w:hint="eastAsia"/>
              </w:rPr>
              <w:t xml:space="preserve"> </w:t>
            </w:r>
            <w:r>
              <w:rPr>
                <w:rFonts w:hint="eastAsia" w:ascii="Times New Roman" w:hAnsi="Times New Roman" w:eastAsia="宋体"/>
                <w:sz w:val="21"/>
                <w:szCs w:val="21"/>
              </w:rPr>
              <w:t>河南科学,</w:t>
            </w:r>
            <w:r>
              <w:rPr>
                <w:rFonts w:hint="eastAsia"/>
              </w:rPr>
              <w:t xml:space="preserve"> </w:t>
            </w:r>
            <w:r>
              <w:rPr>
                <w:rFonts w:hint="eastAsia" w:ascii="Times New Roman" w:hAnsi="Times New Roman" w:eastAsia="宋体"/>
                <w:sz w:val="21"/>
                <w:szCs w:val="21"/>
              </w:rPr>
              <w:t>2020，38（7）：1052-1056</w:t>
            </w:r>
          </w:p>
          <w:p>
            <w:pPr>
              <w:numPr>
                <w:ilvl w:val="0"/>
                <w:numId w:val="4"/>
              </w:numPr>
              <w:spacing w:line="360" w:lineRule="auto"/>
              <w:rPr>
                <w:rFonts w:ascii="Times New Roman" w:hAnsi="Times New Roman" w:eastAsia="宋体"/>
                <w:sz w:val="21"/>
                <w:szCs w:val="21"/>
              </w:rPr>
            </w:pPr>
            <w:r>
              <w:rPr>
                <w:rFonts w:hint="eastAsia" w:ascii="Times New Roman" w:hAnsi="Times New Roman" w:eastAsia="宋体"/>
                <w:sz w:val="21"/>
                <w:szCs w:val="21"/>
              </w:rPr>
              <w:t>荆艳艳, 杨宇, 梁盼.</w:t>
            </w:r>
            <w:r>
              <w:rPr>
                <w:rFonts w:ascii="Times New Roman" w:hAnsi="Times New Roman" w:eastAsia="宋体"/>
                <w:sz w:val="21"/>
                <w:szCs w:val="21"/>
              </w:rPr>
              <w:t xml:space="preserve"> </w:t>
            </w:r>
            <w:r>
              <w:rPr>
                <w:rFonts w:hint="eastAsia" w:ascii="Times New Roman" w:hAnsi="Times New Roman" w:eastAsia="宋体"/>
                <w:sz w:val="21"/>
                <w:szCs w:val="21"/>
              </w:rPr>
              <w:t>河南省周口市分布式能源系统应用发展调查</w:t>
            </w:r>
            <w:r>
              <w:rPr>
                <w:rFonts w:ascii="Times New Roman" w:hAnsi="Times New Roman" w:eastAsia="宋体"/>
                <w:sz w:val="21"/>
                <w:szCs w:val="21"/>
              </w:rPr>
              <w:t xml:space="preserve">[J]. </w:t>
            </w:r>
            <w:r>
              <w:rPr>
                <w:rFonts w:hint="eastAsia" w:ascii="Times New Roman" w:hAnsi="Times New Roman" w:eastAsia="宋体"/>
                <w:sz w:val="21"/>
                <w:szCs w:val="21"/>
              </w:rPr>
              <w:t>河南科技，</w:t>
            </w:r>
            <w:r>
              <w:rPr>
                <w:rFonts w:ascii="Times New Roman" w:hAnsi="Times New Roman" w:eastAsia="宋体"/>
                <w:sz w:val="21"/>
                <w:szCs w:val="21"/>
              </w:rPr>
              <w:t>2020,(11):105-108</w:t>
            </w:r>
          </w:p>
          <w:p>
            <w:pPr>
              <w:numPr>
                <w:ilvl w:val="0"/>
                <w:numId w:val="4"/>
              </w:numPr>
              <w:spacing w:line="360" w:lineRule="auto"/>
              <w:rPr>
                <w:rFonts w:ascii="Times New Roman" w:hAnsi="Times New Roman" w:eastAsia="宋体"/>
                <w:sz w:val="21"/>
                <w:szCs w:val="21"/>
              </w:rPr>
            </w:pPr>
            <w:r>
              <w:rPr>
                <w:rFonts w:hint="eastAsia" w:ascii="Times New Roman" w:hAnsi="Times New Roman" w:eastAsia="宋体"/>
                <w:sz w:val="21"/>
                <w:szCs w:val="21"/>
              </w:rPr>
              <w:t>荆艳艳,李刚,王毅,贺超,姚森.</w:t>
            </w:r>
            <w:r>
              <w:rPr>
                <w:rFonts w:ascii="Times New Roman" w:hAnsi="Times New Roman" w:eastAsia="宋体"/>
                <w:sz w:val="21"/>
                <w:szCs w:val="21"/>
              </w:rPr>
              <w:t xml:space="preserve"> </w:t>
            </w:r>
            <w:r>
              <w:rPr>
                <w:rFonts w:hint="eastAsia" w:ascii="Times New Roman" w:hAnsi="Times New Roman" w:eastAsia="宋体"/>
                <w:sz w:val="21"/>
                <w:szCs w:val="21"/>
              </w:rPr>
              <w:t>农业生物环境与能源工程本科专业实践教学改革措施</w:t>
            </w:r>
            <w:r>
              <w:rPr>
                <w:rFonts w:ascii="Times New Roman" w:hAnsi="Times New Roman" w:eastAsia="宋体"/>
                <w:sz w:val="21"/>
                <w:szCs w:val="21"/>
              </w:rPr>
              <w:t xml:space="preserve">[J]. </w:t>
            </w:r>
            <w:r>
              <w:rPr>
                <w:rFonts w:hint="eastAsia" w:ascii="Times New Roman" w:hAnsi="Times New Roman" w:eastAsia="宋体"/>
                <w:sz w:val="21"/>
                <w:szCs w:val="21"/>
              </w:rPr>
              <w:t>科技视界，</w:t>
            </w:r>
            <w:r>
              <w:rPr>
                <w:rFonts w:ascii="Times New Roman" w:hAnsi="Times New Roman" w:eastAsia="宋体"/>
                <w:sz w:val="21"/>
                <w:szCs w:val="21"/>
              </w:rPr>
              <w:t>2019,(17):67-68</w:t>
            </w:r>
          </w:p>
          <w:p>
            <w:pPr>
              <w:numPr>
                <w:ilvl w:val="0"/>
                <w:numId w:val="4"/>
              </w:numPr>
              <w:spacing w:line="360" w:lineRule="auto"/>
              <w:rPr>
                <w:rFonts w:ascii="Times New Roman" w:hAnsi="Times New Roman" w:eastAsia="宋体"/>
                <w:sz w:val="21"/>
                <w:szCs w:val="21"/>
              </w:rPr>
            </w:pPr>
            <w:r>
              <w:rPr>
                <w:rFonts w:ascii="Times New Roman" w:hAnsi="Times New Roman" w:eastAsia="宋体"/>
                <w:sz w:val="21"/>
                <w:szCs w:val="21"/>
              </w:rPr>
              <w:t>Yameng Li, Yanyan Jing, Zhiping Zhang, Danping Jiang, Quanguo Zhang, Jianjun Hu,Huan Zhang, Chao He, Shengnan Zhu. Kinetics of Methane Production from the Co-Digestion of</w:t>
            </w:r>
            <w:r>
              <w:rPr>
                <w:rFonts w:hint="eastAsia" w:ascii="Times New Roman" w:hAnsi="Times New Roman" w:eastAsia="宋体"/>
                <w:sz w:val="21"/>
                <w:szCs w:val="21"/>
              </w:rPr>
              <w:t xml:space="preserve"> </w:t>
            </w:r>
            <w:r>
              <w:rPr>
                <w:rFonts w:ascii="Times New Roman" w:hAnsi="Times New Roman" w:eastAsia="宋体"/>
                <w:sz w:val="21"/>
                <w:szCs w:val="21"/>
              </w:rPr>
              <w:t>ow Dung, Pig Manure and Corn Straw[J]. Journal of Biobased Materials and Bioenergy, 2020,14（</w:t>
            </w:r>
            <w:r>
              <w:rPr>
                <w:rFonts w:hint="eastAsia" w:ascii="Times New Roman" w:hAnsi="Times New Roman" w:eastAsia="宋体"/>
                <w:sz w:val="21"/>
                <w:szCs w:val="21"/>
              </w:rPr>
              <w:t>1）</w:t>
            </w:r>
            <w:r>
              <w:rPr>
                <w:rFonts w:ascii="Times New Roman" w:hAnsi="Times New Roman" w:eastAsia="宋体"/>
                <w:sz w:val="21"/>
                <w:szCs w:val="21"/>
              </w:rPr>
              <w:t>:91-97</w:t>
            </w:r>
          </w:p>
          <w:p>
            <w:pPr>
              <w:numPr>
                <w:ilvl w:val="0"/>
                <w:numId w:val="4"/>
              </w:numPr>
              <w:spacing w:line="360" w:lineRule="auto"/>
              <w:rPr>
                <w:rFonts w:ascii="Times New Roman" w:hAnsi="Times New Roman" w:eastAsia="宋体"/>
                <w:sz w:val="21"/>
                <w:szCs w:val="21"/>
              </w:rPr>
            </w:pPr>
            <w:r>
              <w:rPr>
                <w:rFonts w:ascii="Times New Roman" w:hAnsi="Times New Roman" w:eastAsia="宋体"/>
                <w:sz w:val="21"/>
                <w:szCs w:val="21"/>
              </w:rPr>
              <w:t>Shengnan Zhu, Zhiping Zhang, Huan Zhang, Yanyan Jing, Yameng Li,Quanguo Zhang. Rheological properties of corn stover hydrolysate and photo-fermentation bio-hydrogen producing capacity under intermittent stirring [J]. International Journal of Hydrogen Energy，</w:t>
            </w:r>
            <w:r>
              <w:rPr>
                <w:rFonts w:hint="eastAsia" w:ascii="Times New Roman" w:hAnsi="Times New Roman" w:eastAsia="宋体"/>
                <w:sz w:val="21"/>
                <w:szCs w:val="21"/>
              </w:rPr>
              <w:t>2020,45,（6）,3721-3728</w:t>
            </w:r>
          </w:p>
          <w:p>
            <w:pPr>
              <w:numPr>
                <w:ilvl w:val="0"/>
                <w:numId w:val="4"/>
              </w:numPr>
              <w:spacing w:line="360" w:lineRule="auto"/>
              <w:rPr>
                <w:rFonts w:ascii="Times New Roman" w:hAnsi="Times New Roman" w:eastAsia="宋体"/>
                <w:sz w:val="21"/>
                <w:szCs w:val="21"/>
              </w:rPr>
            </w:pPr>
            <w:r>
              <w:rPr>
                <w:rFonts w:ascii="Times New Roman" w:hAnsi="Times New Roman" w:eastAsia="宋体"/>
                <w:sz w:val="21"/>
                <w:szCs w:val="21"/>
              </w:rPr>
              <w:t>Yameng Li, Zhiping Zhang, Chenxi Xia, Yanyan Jing, Quanguo Zhang, Suiliang Li, Shengnan Zhu, Peng Jin. Photo-fermentation biohydrogen production and electrons distribution from dark fermentation effluents under batch, semi-continuous and continuous modes[J]. Bioresource Technology，</w:t>
            </w:r>
            <w:r>
              <w:rPr>
                <w:rFonts w:hint="eastAsia" w:ascii="Times New Roman" w:hAnsi="Times New Roman" w:eastAsia="宋体"/>
                <w:sz w:val="21"/>
                <w:szCs w:val="21"/>
              </w:rPr>
              <w:t>2</w:t>
            </w:r>
            <w:r>
              <w:rPr>
                <w:rFonts w:ascii="Times New Roman" w:hAnsi="Times New Roman" w:eastAsia="宋体"/>
                <w:sz w:val="21"/>
                <w:szCs w:val="21"/>
              </w:rPr>
              <w:t>020，</w:t>
            </w:r>
            <w:r>
              <w:rPr>
                <w:rFonts w:hint="eastAsia" w:ascii="Times New Roman" w:hAnsi="Times New Roman" w:eastAsia="宋体"/>
                <w:sz w:val="21"/>
                <w:szCs w:val="21"/>
              </w:rPr>
              <w:t>3</w:t>
            </w:r>
            <w:r>
              <w:rPr>
                <w:rFonts w:ascii="Times New Roman" w:hAnsi="Times New Roman" w:eastAsia="宋体"/>
                <w:sz w:val="21"/>
                <w:szCs w:val="21"/>
              </w:rPr>
              <w:t>11：</w:t>
            </w:r>
            <w:r>
              <w:rPr>
                <w:rFonts w:hint="eastAsia" w:ascii="Times New Roman" w:hAnsi="Times New Roman" w:eastAsia="宋体"/>
                <w:sz w:val="21"/>
                <w:szCs w:val="21"/>
              </w:rPr>
              <w:t>1</w:t>
            </w:r>
            <w:r>
              <w:rPr>
                <w:rFonts w:ascii="Times New Roman" w:hAnsi="Times New Roman" w:eastAsia="宋体"/>
                <w:sz w:val="21"/>
                <w:szCs w:val="21"/>
              </w:rPr>
              <w:t>23549</w:t>
            </w:r>
          </w:p>
          <w:p>
            <w:pPr>
              <w:numPr>
                <w:ilvl w:val="0"/>
                <w:numId w:val="4"/>
              </w:numPr>
              <w:spacing w:line="360" w:lineRule="auto"/>
              <w:rPr>
                <w:rFonts w:ascii="Times New Roman" w:hAnsi="Times New Roman" w:eastAsia="宋体"/>
                <w:sz w:val="21"/>
                <w:szCs w:val="21"/>
              </w:rPr>
            </w:pPr>
            <w:r>
              <w:rPr>
                <w:rFonts w:ascii="Times New Roman" w:hAnsi="Times New Roman" w:eastAsia="宋体"/>
                <w:sz w:val="21"/>
                <w:szCs w:val="21"/>
              </w:rPr>
              <w:t>Chaoyang Lu , Yi Wang , Duu-Jong Lee , Quanguo Zhang , Huan Zhang , Nadeem Tahir , Yanyan Jing , Hong Liu , Kai Zhang. Biohydrogen production in pilot-scale fermenter: Effects of hydraulic retention time and substrate concentration[J]. Journal of Cleaner Production，2019，</w:t>
            </w:r>
            <w:r>
              <w:rPr>
                <w:rFonts w:hint="eastAsia" w:ascii="Times New Roman" w:hAnsi="Times New Roman" w:eastAsia="宋体"/>
                <w:sz w:val="21"/>
                <w:szCs w:val="21"/>
              </w:rPr>
              <w:t>2</w:t>
            </w:r>
            <w:r>
              <w:rPr>
                <w:rFonts w:ascii="Times New Roman" w:hAnsi="Times New Roman" w:eastAsia="宋体"/>
                <w:sz w:val="21"/>
                <w:szCs w:val="21"/>
              </w:rPr>
              <w:t>29：</w:t>
            </w:r>
            <w:r>
              <w:rPr>
                <w:rFonts w:hint="eastAsia" w:ascii="Times New Roman" w:hAnsi="Times New Roman" w:eastAsia="宋体"/>
                <w:sz w:val="21"/>
                <w:szCs w:val="21"/>
              </w:rPr>
              <w:t>7</w:t>
            </w:r>
            <w:r>
              <w:rPr>
                <w:rFonts w:ascii="Times New Roman" w:hAnsi="Times New Roman" w:eastAsia="宋体"/>
                <w:sz w:val="21"/>
                <w:szCs w:val="21"/>
              </w:rPr>
              <w:t>51-760</w:t>
            </w:r>
          </w:p>
          <w:p>
            <w:pPr>
              <w:numPr>
                <w:ilvl w:val="0"/>
                <w:numId w:val="4"/>
              </w:numPr>
              <w:spacing w:line="360" w:lineRule="auto"/>
              <w:rPr>
                <w:rFonts w:ascii="Times New Roman" w:hAnsi="Times New Roman" w:eastAsia="宋体"/>
                <w:sz w:val="21"/>
                <w:szCs w:val="21"/>
              </w:rPr>
            </w:pPr>
            <w:r>
              <w:rPr>
                <w:rFonts w:ascii="Times New Roman" w:hAnsi="Times New Roman" w:eastAsia="宋体"/>
                <w:sz w:val="21"/>
                <w:szCs w:val="21"/>
              </w:rPr>
              <w:t>Chao He , Baoyi Qi , Youzhou Jiao , Quanguo Zhang , Xiaoran Ma , Gang Li , Yanyan Jing , Danping Jiang , Zhiping Zhang. Potentials of bio-hydrogen and bio-methane production from diseased swines [J]. International Journal of Hydrogen Energy，</w:t>
            </w:r>
            <w:r>
              <w:rPr>
                <w:rFonts w:hint="eastAsia" w:ascii="Times New Roman" w:hAnsi="Times New Roman" w:eastAsia="宋体"/>
                <w:sz w:val="21"/>
                <w:szCs w:val="21"/>
              </w:rPr>
              <w:t>2</w:t>
            </w:r>
            <w:r>
              <w:rPr>
                <w:rFonts w:ascii="Times New Roman" w:hAnsi="Times New Roman" w:eastAsia="宋体"/>
                <w:sz w:val="21"/>
                <w:szCs w:val="21"/>
              </w:rPr>
              <w:t>020</w:t>
            </w:r>
            <w:r>
              <w:rPr>
                <w:rFonts w:hint="eastAsia" w:ascii="Times New Roman" w:hAnsi="Times New Roman" w:eastAsia="宋体"/>
                <w:sz w:val="21"/>
                <w:szCs w:val="21"/>
              </w:rPr>
              <w:t>，（4</w:t>
            </w:r>
            <w:r>
              <w:rPr>
                <w:rFonts w:ascii="Times New Roman" w:hAnsi="Times New Roman" w:eastAsia="宋体"/>
                <w:sz w:val="21"/>
                <w:szCs w:val="21"/>
              </w:rPr>
              <w:t>5</w:t>
            </w:r>
            <w:r>
              <w:rPr>
                <w:rFonts w:hint="eastAsia" w:ascii="Times New Roman" w:hAnsi="Times New Roman" w:eastAsia="宋体"/>
                <w:sz w:val="21"/>
                <w:szCs w:val="21"/>
              </w:rPr>
              <w:t>）：3</w:t>
            </w:r>
            <w:r>
              <w:rPr>
                <w:rFonts w:ascii="Times New Roman" w:hAnsi="Times New Roman" w:eastAsia="宋体"/>
                <w:sz w:val="21"/>
                <w:szCs w:val="21"/>
              </w:rPr>
              <w:t>4473</w:t>
            </w:r>
            <w:r>
              <w:rPr>
                <w:rFonts w:hint="eastAsia" w:ascii="Times New Roman" w:hAnsi="Times New Roman" w:eastAsia="宋体"/>
                <w:sz w:val="21"/>
                <w:szCs w:val="21"/>
              </w:rPr>
              <w:t>-</w:t>
            </w:r>
            <w:r>
              <w:rPr>
                <w:rFonts w:ascii="Times New Roman" w:hAnsi="Times New Roman" w:eastAsia="宋体"/>
                <w:sz w:val="21"/>
                <w:szCs w:val="21"/>
              </w:rPr>
              <w:t>34482</w:t>
            </w:r>
          </w:p>
          <w:p>
            <w:pPr>
              <w:numPr>
                <w:ilvl w:val="0"/>
                <w:numId w:val="4"/>
              </w:numPr>
              <w:spacing w:line="360" w:lineRule="auto"/>
              <w:rPr>
                <w:rFonts w:ascii="Times New Roman" w:hAnsi="Times New Roman" w:eastAsia="宋体"/>
                <w:sz w:val="21"/>
                <w:szCs w:val="21"/>
              </w:rPr>
            </w:pPr>
            <w:r>
              <w:rPr>
                <w:rFonts w:hint="eastAsia" w:ascii="Times New Roman" w:hAnsi="Times New Roman" w:eastAsia="宋体"/>
                <w:sz w:val="21"/>
                <w:szCs w:val="21"/>
              </w:rPr>
              <w:t>蒋丹萍,荆艳艳,张志萍,贺超,张寰.</w:t>
            </w:r>
            <w:r>
              <w:rPr>
                <w:rFonts w:ascii="Times New Roman" w:hAnsi="Times New Roman" w:eastAsia="宋体"/>
                <w:sz w:val="21"/>
                <w:szCs w:val="21"/>
              </w:rPr>
              <w:t xml:space="preserve"> </w:t>
            </w:r>
            <w:r>
              <w:rPr>
                <w:rFonts w:hint="eastAsia" w:ascii="Times New Roman" w:hAnsi="Times New Roman" w:eastAsia="宋体"/>
                <w:sz w:val="21"/>
                <w:szCs w:val="21"/>
              </w:rPr>
              <w:t>浅谈“风能工程”线上教学</w:t>
            </w:r>
            <w:r>
              <w:rPr>
                <w:rFonts w:ascii="Times New Roman" w:hAnsi="Times New Roman" w:eastAsia="宋体"/>
                <w:sz w:val="21"/>
                <w:szCs w:val="21"/>
              </w:rPr>
              <w:t xml:space="preserve">[J]. </w:t>
            </w:r>
            <w:r>
              <w:rPr>
                <w:rFonts w:hint="eastAsia" w:ascii="Times New Roman" w:hAnsi="Times New Roman" w:eastAsia="宋体"/>
                <w:sz w:val="21"/>
                <w:szCs w:val="21"/>
              </w:rPr>
              <w:t>科技创新导报，</w:t>
            </w:r>
            <w:r>
              <w:rPr>
                <w:rFonts w:ascii="Times New Roman" w:hAnsi="Times New Roman" w:eastAsia="宋体"/>
                <w:sz w:val="21"/>
                <w:szCs w:val="21"/>
              </w:rPr>
              <w:t>2020,(19):221-223</w:t>
            </w:r>
          </w:p>
          <w:p>
            <w:pPr>
              <w:numPr>
                <w:ilvl w:val="0"/>
                <w:numId w:val="4"/>
              </w:numPr>
              <w:spacing w:line="360" w:lineRule="auto"/>
              <w:rPr>
                <w:rFonts w:ascii="Times New Roman" w:hAnsi="Times New Roman" w:eastAsia="宋体"/>
                <w:sz w:val="21"/>
                <w:szCs w:val="21"/>
              </w:rPr>
            </w:pPr>
            <w:r>
              <w:rPr>
                <w:rFonts w:hint="eastAsia" w:ascii="Times New Roman" w:hAnsi="Times New Roman" w:eastAsia="宋体"/>
                <w:sz w:val="21"/>
                <w:szCs w:val="21"/>
              </w:rPr>
              <w:t>路朝阳,张志萍,荆艳艳.</w:t>
            </w:r>
            <w:r>
              <w:rPr>
                <w:rFonts w:ascii="Times New Roman" w:hAnsi="Times New Roman" w:eastAsia="宋体"/>
                <w:sz w:val="21"/>
                <w:szCs w:val="21"/>
              </w:rPr>
              <w:t xml:space="preserve"> </w:t>
            </w:r>
            <w:r>
              <w:rPr>
                <w:rFonts w:hint="eastAsia" w:ascii="Times New Roman" w:hAnsi="Times New Roman" w:eastAsia="宋体"/>
                <w:sz w:val="21"/>
                <w:szCs w:val="21"/>
              </w:rPr>
              <w:t>高校网络教学在新冠肺炎疫情期间的发展</w:t>
            </w:r>
            <w:r>
              <w:rPr>
                <w:rFonts w:ascii="Times New Roman" w:hAnsi="Times New Roman" w:eastAsia="宋体"/>
                <w:sz w:val="21"/>
                <w:szCs w:val="21"/>
              </w:rPr>
              <w:t xml:space="preserve">[J]. </w:t>
            </w:r>
            <w:r>
              <w:rPr>
                <w:rFonts w:hint="eastAsia" w:ascii="Times New Roman" w:hAnsi="Times New Roman" w:eastAsia="宋体"/>
                <w:sz w:val="21"/>
                <w:szCs w:val="21"/>
              </w:rPr>
              <w:t>教育教学论坛，</w:t>
            </w:r>
            <w:r>
              <w:rPr>
                <w:rFonts w:ascii="Times New Roman" w:hAnsi="Times New Roman" w:eastAsia="宋体"/>
                <w:sz w:val="21"/>
                <w:szCs w:val="21"/>
              </w:rPr>
              <w:t>2020,(43):143-145</w:t>
            </w:r>
          </w:p>
          <w:p>
            <w:pPr>
              <w:numPr>
                <w:ilvl w:val="0"/>
                <w:numId w:val="4"/>
              </w:numPr>
              <w:spacing w:line="360" w:lineRule="auto"/>
              <w:rPr>
                <w:rFonts w:ascii="Times New Roman" w:hAnsi="Times New Roman" w:eastAsia="宋体"/>
                <w:sz w:val="21"/>
                <w:szCs w:val="21"/>
              </w:rPr>
            </w:pPr>
            <w:r>
              <w:rPr>
                <w:rFonts w:hint="eastAsia" w:ascii="Times New Roman" w:hAnsi="Times New Roman" w:eastAsia="宋体"/>
                <w:sz w:val="21"/>
                <w:szCs w:val="21"/>
              </w:rPr>
              <w:t>张志萍,潘晓慧,荆艳艳,青春耀.</w:t>
            </w:r>
            <w:r>
              <w:rPr>
                <w:rFonts w:ascii="Times New Roman" w:hAnsi="Times New Roman" w:eastAsia="宋体"/>
                <w:sz w:val="21"/>
                <w:szCs w:val="21"/>
              </w:rPr>
              <w:t xml:space="preserve"> </w:t>
            </w:r>
            <w:r>
              <w:rPr>
                <w:rFonts w:hint="eastAsia" w:ascii="Times New Roman" w:hAnsi="Times New Roman" w:eastAsia="宋体"/>
                <w:sz w:val="21"/>
                <w:szCs w:val="21"/>
              </w:rPr>
              <w:t>“热力发电厂”课程的线上教学模式改革的探索</w:t>
            </w:r>
            <w:r>
              <w:rPr>
                <w:rFonts w:ascii="Times New Roman" w:hAnsi="Times New Roman" w:eastAsia="宋体"/>
                <w:sz w:val="21"/>
                <w:szCs w:val="21"/>
              </w:rPr>
              <w:t>[J].</w:t>
            </w:r>
            <w:r>
              <w:rPr>
                <w:rFonts w:hint="eastAsia" w:ascii="Times New Roman" w:hAnsi="Times New Roman" w:eastAsia="宋体"/>
                <w:sz w:val="21"/>
                <w:szCs w:val="21"/>
              </w:rPr>
              <w:t xml:space="preserve"> 科技风，2020,（9）：39-40</w:t>
            </w:r>
          </w:p>
          <w:p>
            <w:pPr>
              <w:numPr>
                <w:ilvl w:val="0"/>
                <w:numId w:val="4"/>
              </w:numPr>
              <w:spacing w:line="360" w:lineRule="auto"/>
              <w:rPr>
                <w:rFonts w:ascii="Times New Roman" w:hAnsi="Times New Roman" w:eastAsia="宋体"/>
                <w:sz w:val="21"/>
                <w:szCs w:val="21"/>
              </w:rPr>
            </w:pPr>
            <w:r>
              <w:rPr>
                <w:rFonts w:hint="eastAsia" w:ascii="Times New Roman" w:hAnsi="Times New Roman" w:eastAsia="宋体"/>
                <w:sz w:val="21"/>
                <w:szCs w:val="21"/>
              </w:rPr>
              <w:t>李攀攀，赵淑蘅，陶红歌，荆艳艳.</w:t>
            </w:r>
            <w:r>
              <w:rPr>
                <w:rFonts w:ascii="Times New Roman" w:hAnsi="Times New Roman" w:eastAsia="宋体"/>
                <w:sz w:val="21"/>
                <w:szCs w:val="21"/>
              </w:rPr>
              <w:t xml:space="preserve"> </w:t>
            </w:r>
            <w:r>
              <w:rPr>
                <w:rFonts w:hint="eastAsia" w:ascii="Times New Roman" w:hAnsi="Times New Roman" w:eastAsia="宋体"/>
                <w:sz w:val="21"/>
                <w:szCs w:val="21"/>
              </w:rPr>
              <w:t>高校班主任工作的几点体会</w:t>
            </w:r>
            <w:r>
              <w:rPr>
                <w:rFonts w:ascii="Times New Roman" w:hAnsi="Times New Roman" w:eastAsia="宋体"/>
                <w:sz w:val="21"/>
                <w:szCs w:val="21"/>
              </w:rPr>
              <w:t>[J].</w:t>
            </w:r>
            <w:r>
              <w:rPr>
                <w:rFonts w:hint="eastAsia" w:ascii="Times New Roman" w:hAnsi="Times New Roman" w:eastAsia="宋体"/>
                <w:sz w:val="21"/>
                <w:szCs w:val="21"/>
              </w:rPr>
              <w:t>读书文摘，2</w:t>
            </w:r>
            <w:r>
              <w:rPr>
                <w:rFonts w:ascii="Times New Roman" w:hAnsi="Times New Roman" w:eastAsia="宋体"/>
                <w:sz w:val="21"/>
                <w:szCs w:val="21"/>
              </w:rPr>
              <w:t>019</w:t>
            </w:r>
            <w:r>
              <w:rPr>
                <w:rFonts w:hint="eastAsia" w:ascii="Times New Roman" w:hAnsi="Times New Roman" w:eastAsia="宋体"/>
                <w:sz w:val="21"/>
                <w:szCs w:val="21"/>
              </w:rPr>
              <w:t>，（1</w:t>
            </w:r>
            <w:r>
              <w:rPr>
                <w:rFonts w:ascii="Times New Roman" w:hAnsi="Times New Roman" w:eastAsia="宋体"/>
                <w:sz w:val="21"/>
                <w:szCs w:val="21"/>
              </w:rPr>
              <w:t>0</w:t>
            </w:r>
            <w:r>
              <w:rPr>
                <w:rFonts w:hint="eastAsia" w:ascii="Times New Roman" w:hAnsi="Times New Roman" w:eastAsia="宋体"/>
                <w:sz w:val="21"/>
                <w:szCs w:val="21"/>
              </w:rPr>
              <w:t>）：2</w:t>
            </w:r>
            <w:r>
              <w:rPr>
                <w:rFonts w:ascii="Times New Roman" w:hAnsi="Times New Roman" w:eastAsia="宋体"/>
                <w:sz w:val="21"/>
                <w:szCs w:val="21"/>
              </w:rPr>
              <w:t>38</w:t>
            </w:r>
            <w:r>
              <w:rPr>
                <w:rFonts w:hint="eastAsia" w:ascii="Times New Roman" w:hAnsi="Times New Roman" w:eastAsia="宋体"/>
                <w:sz w:val="21"/>
                <w:szCs w:val="21"/>
              </w:rPr>
              <w:t>-</w:t>
            </w:r>
            <w:r>
              <w:rPr>
                <w:rFonts w:ascii="Times New Roman" w:hAnsi="Times New Roman" w:eastAsia="宋体"/>
                <w:sz w:val="21"/>
                <w:szCs w:val="21"/>
              </w:rPr>
              <w:t>239</w:t>
            </w:r>
          </w:p>
          <w:p>
            <w:pPr>
              <w:numPr>
                <w:ilvl w:val="0"/>
                <w:numId w:val="4"/>
              </w:numPr>
              <w:spacing w:line="360" w:lineRule="auto"/>
              <w:rPr>
                <w:rFonts w:ascii="Times New Roman" w:hAnsi="Times New Roman" w:eastAsia="宋体"/>
                <w:sz w:val="21"/>
                <w:szCs w:val="21"/>
              </w:rPr>
            </w:pPr>
            <w:r>
              <w:rPr>
                <w:rFonts w:hint="eastAsia" w:ascii="Times New Roman" w:hAnsi="Times New Roman" w:eastAsia="宋体"/>
                <w:sz w:val="21"/>
                <w:szCs w:val="21"/>
              </w:rPr>
              <w:t>张全国、胡建军主编，孙勇、荆艳艳、贺超、张志萍副主编，</w:t>
            </w:r>
            <w:r>
              <w:rPr>
                <w:rFonts w:ascii="Times New Roman" w:hAnsi="Times New Roman" w:eastAsia="宋体"/>
                <w:sz w:val="21"/>
                <w:szCs w:val="21"/>
              </w:rPr>
              <w:t>燃烧学[M].</w:t>
            </w:r>
            <w:r>
              <w:rPr>
                <w:rFonts w:hint="eastAsia" w:ascii="Times New Roman" w:hAnsi="Times New Roman" w:eastAsia="宋体"/>
                <w:sz w:val="21"/>
                <w:szCs w:val="21"/>
              </w:rPr>
              <w:t>中国农业出版社，2</w:t>
            </w:r>
            <w:r>
              <w:rPr>
                <w:rFonts w:ascii="Times New Roman" w:hAnsi="Times New Roman" w:eastAsia="宋体"/>
                <w:sz w:val="21"/>
                <w:szCs w:val="21"/>
              </w:rPr>
              <w:t>020</w:t>
            </w:r>
            <w:r>
              <w:rPr>
                <w:rFonts w:hint="eastAsia" w:ascii="Times New Roman" w:hAnsi="Times New Roman" w:eastAsia="宋体"/>
                <w:sz w:val="21"/>
                <w:szCs w:val="21"/>
              </w:rPr>
              <w:t>年1</w:t>
            </w:r>
            <w:r>
              <w:rPr>
                <w:rFonts w:ascii="Times New Roman" w:hAnsi="Times New Roman" w:eastAsia="宋体"/>
                <w:sz w:val="21"/>
                <w:szCs w:val="21"/>
              </w:rPr>
              <w:t>2</w:t>
            </w:r>
            <w:r>
              <w:rPr>
                <w:rFonts w:hint="eastAsia" w:ascii="Times New Roman" w:hAnsi="Times New Roman" w:eastAsia="宋体"/>
                <w:sz w:val="21"/>
                <w:szCs w:val="21"/>
              </w:rPr>
              <w:t>月</w:t>
            </w:r>
          </w:p>
          <w:p>
            <w:pPr>
              <w:spacing w:line="360" w:lineRule="auto"/>
              <w:rPr>
                <w:rFonts w:ascii="Times New Roman" w:hAnsi="Times New Roman" w:eastAsia="宋体"/>
                <w:sz w:val="21"/>
                <w:szCs w:val="21"/>
              </w:rPr>
            </w:pPr>
          </w:p>
          <w:p>
            <w:pPr>
              <w:spacing w:line="360" w:lineRule="auto"/>
              <w:rPr>
                <w:rFonts w:ascii="Times New Roman" w:hAnsi="Times New Roman" w:eastAsia="宋体"/>
                <w:sz w:val="21"/>
                <w:szCs w:val="21"/>
              </w:rPr>
            </w:pPr>
          </w:p>
          <w:p>
            <w:pPr>
              <w:spacing w:line="360" w:lineRule="auto"/>
              <w:rPr>
                <w:rFonts w:ascii="Times New Roman" w:hAnsi="Times New Roman" w:eastAsia="宋体"/>
                <w:sz w:val="21"/>
                <w:szCs w:val="21"/>
              </w:rPr>
            </w:pPr>
          </w:p>
          <w:p>
            <w:pPr>
              <w:spacing w:line="360" w:lineRule="auto"/>
              <w:rPr>
                <w:rFonts w:ascii="Times New Roman" w:hAnsi="Times New Roman" w:eastAsia="宋体"/>
                <w:sz w:val="21"/>
                <w:szCs w:val="21"/>
              </w:rPr>
            </w:pPr>
          </w:p>
          <w:p>
            <w:pPr>
              <w:spacing w:line="360" w:lineRule="auto"/>
              <w:rPr>
                <w:rFonts w:ascii="Times New Roman" w:hAnsi="Times New Roman" w:eastAsia="宋体"/>
                <w:sz w:val="21"/>
                <w:szCs w:val="21"/>
              </w:rPr>
            </w:pPr>
          </w:p>
          <w:p>
            <w:pPr>
              <w:spacing w:line="360" w:lineRule="auto"/>
              <w:rPr>
                <w:rFonts w:ascii="Times New Roman" w:hAnsi="Times New Roman" w:eastAsia="宋体"/>
                <w:sz w:val="21"/>
                <w:szCs w:val="21"/>
              </w:rPr>
            </w:pPr>
          </w:p>
          <w:p>
            <w:pPr>
              <w:spacing w:line="360" w:lineRule="auto"/>
              <w:rPr>
                <w:rFonts w:ascii="Times New Roman" w:hAnsi="Times New Roman" w:eastAsia="宋体"/>
                <w:sz w:val="21"/>
                <w:szCs w:val="21"/>
              </w:rPr>
            </w:pPr>
          </w:p>
          <w:p>
            <w:pPr>
              <w:spacing w:line="360" w:lineRule="auto"/>
              <w:rPr>
                <w:rFonts w:ascii="Times New Roman" w:hAnsi="Times New Roman" w:eastAsia="宋体"/>
                <w:sz w:val="21"/>
                <w:szCs w:val="21"/>
              </w:rPr>
            </w:pPr>
          </w:p>
          <w:p>
            <w:pPr>
              <w:spacing w:line="360" w:lineRule="auto"/>
              <w:rPr>
                <w:rFonts w:ascii="Times New Roman" w:hAnsi="Times New Roman" w:eastAsia="宋体"/>
                <w:sz w:val="21"/>
                <w:szCs w:val="21"/>
              </w:rPr>
            </w:pPr>
          </w:p>
          <w:p>
            <w:pPr>
              <w:spacing w:line="360" w:lineRule="auto"/>
              <w:rPr>
                <w:rFonts w:ascii="Times New Roman" w:hAnsi="Times New Roman" w:eastAsia="宋体"/>
                <w:sz w:val="21"/>
                <w:szCs w:val="21"/>
              </w:rPr>
            </w:pPr>
          </w:p>
          <w:p>
            <w:pPr>
              <w:spacing w:line="360" w:lineRule="auto"/>
              <w:rPr>
                <w:rFonts w:ascii="Times New Roman" w:hAnsi="Times New Roman" w:eastAsia="宋体"/>
                <w:sz w:val="21"/>
                <w:szCs w:val="21"/>
              </w:rPr>
            </w:pPr>
          </w:p>
          <w:p>
            <w:pPr>
              <w:spacing w:line="360" w:lineRule="auto"/>
              <w:rPr>
                <w:rFonts w:ascii="Times New Roman" w:hAnsi="Times New Roman" w:eastAsia="宋体"/>
                <w:sz w:val="21"/>
                <w:szCs w:val="21"/>
              </w:rPr>
            </w:pPr>
          </w:p>
          <w:p>
            <w:pPr>
              <w:spacing w:line="360" w:lineRule="auto"/>
              <w:rPr>
                <w:rFonts w:ascii="Times New Roman" w:hAnsi="Times New Roman" w:eastAsia="宋体"/>
                <w:sz w:val="21"/>
                <w:szCs w:val="21"/>
              </w:rPr>
            </w:pPr>
          </w:p>
          <w:p>
            <w:pPr>
              <w:spacing w:line="360" w:lineRule="auto"/>
              <w:rPr>
                <w:rFonts w:ascii="Times New Roman" w:hAnsi="Times New Roman" w:eastAsia="宋体"/>
                <w:sz w:val="21"/>
                <w:szCs w:val="21"/>
              </w:rPr>
            </w:pPr>
          </w:p>
          <w:p>
            <w:pPr>
              <w:spacing w:line="360" w:lineRule="auto"/>
              <w:rPr>
                <w:rFonts w:ascii="Times New Roman" w:hAnsi="Times New Roman" w:eastAsia="宋体"/>
                <w:sz w:val="21"/>
                <w:szCs w:val="21"/>
              </w:rPr>
            </w:pPr>
          </w:p>
          <w:p>
            <w:pPr>
              <w:spacing w:line="360" w:lineRule="auto"/>
              <w:rPr>
                <w:rFonts w:ascii="Times New Roman" w:hAnsi="Times New Roman" w:eastAsia="宋体"/>
                <w:sz w:val="21"/>
                <w:szCs w:val="21"/>
              </w:rPr>
            </w:pPr>
          </w:p>
          <w:p>
            <w:pPr>
              <w:spacing w:line="360" w:lineRule="auto"/>
              <w:rPr>
                <w:rFonts w:ascii="Times New Roman" w:hAnsi="Times New Roman" w:eastAsia="宋体"/>
                <w:sz w:val="21"/>
                <w:szCs w:val="21"/>
              </w:rPr>
            </w:pPr>
          </w:p>
          <w:p>
            <w:pPr>
              <w:spacing w:line="360" w:lineRule="auto"/>
              <w:rPr>
                <w:rFonts w:ascii="Times New Roman" w:hAnsi="Times New Roman" w:eastAsia="宋体"/>
                <w:sz w:val="21"/>
                <w:szCs w:val="21"/>
              </w:rPr>
            </w:pPr>
          </w:p>
          <w:p>
            <w:pPr>
              <w:spacing w:line="360" w:lineRule="auto"/>
              <w:rPr>
                <w:rFonts w:ascii="Times New Roman" w:hAnsi="Times New Roman" w:eastAsia="宋体"/>
                <w:sz w:val="21"/>
                <w:szCs w:val="21"/>
              </w:rPr>
            </w:pPr>
          </w:p>
          <w:p>
            <w:pPr>
              <w:spacing w:line="360" w:lineRule="auto"/>
              <w:rPr>
                <w:rFonts w:ascii="Times New Roman" w:hAnsi="Times New Roman" w:eastAsia="宋体"/>
                <w:sz w:val="21"/>
                <w:szCs w:val="21"/>
              </w:rPr>
            </w:pPr>
          </w:p>
          <w:p>
            <w:pPr>
              <w:spacing w:line="360" w:lineRule="auto"/>
              <w:rPr>
                <w:rFonts w:ascii="Times New Roman" w:hAnsi="Times New Roman" w:eastAsia="宋体"/>
                <w:sz w:val="21"/>
                <w:szCs w:val="21"/>
              </w:rPr>
            </w:pPr>
          </w:p>
          <w:p>
            <w:pPr>
              <w:spacing w:line="360" w:lineRule="auto"/>
              <w:rPr>
                <w:rFonts w:ascii="Times New Roman" w:hAnsi="Times New Roman" w:eastAsia="宋体"/>
                <w:sz w:val="21"/>
                <w:szCs w:val="21"/>
              </w:rPr>
            </w:pPr>
          </w:p>
          <w:p>
            <w:pPr>
              <w:spacing w:line="360" w:lineRule="auto"/>
              <w:rPr>
                <w:rFonts w:ascii="Times New Roman" w:hAnsi="Times New Roman" w:eastAsia="宋体"/>
                <w:sz w:val="21"/>
                <w:szCs w:val="21"/>
              </w:rPr>
            </w:pPr>
          </w:p>
          <w:p>
            <w:pPr>
              <w:spacing w:line="360" w:lineRule="auto"/>
              <w:rPr>
                <w:rFonts w:ascii="Times New Roman" w:hAnsi="Times New Roman" w:eastAsia="宋体"/>
                <w:sz w:val="21"/>
                <w:szCs w:val="21"/>
              </w:rPr>
            </w:pPr>
          </w:p>
        </w:tc>
      </w:tr>
    </w:tbl>
    <w:p>
      <w:pPr>
        <w:rPr>
          <w:rFonts w:eastAsia="黑体"/>
        </w:rPr>
      </w:pPr>
    </w:p>
    <w:p>
      <w:pPr>
        <w:rPr>
          <w:rFonts w:ascii="黑体" w:eastAsia="黑体"/>
          <w:szCs w:val="20"/>
        </w:rPr>
      </w:pPr>
      <w:r>
        <w:rPr>
          <w:rFonts w:hint="eastAsia" w:eastAsia="黑体"/>
        </w:rPr>
        <w:t>四、</w:t>
      </w:r>
      <w:r>
        <w:rPr>
          <w:rFonts w:hint="eastAsia" w:ascii="黑体" w:eastAsia="黑体"/>
        </w:rPr>
        <w:t>资助项目决算表</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2"/>
        <w:gridCol w:w="6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jc w:val="center"/>
        </w:trPr>
        <w:tc>
          <w:tcPr>
            <w:tcW w:w="2012" w:type="dxa"/>
            <w:tcBorders>
              <w:top w:val="single" w:color="auto" w:sz="4" w:space="0"/>
              <w:left w:val="single" w:color="auto" w:sz="4" w:space="0"/>
              <w:bottom w:val="single" w:color="auto" w:sz="4" w:space="0"/>
              <w:right w:val="single" w:color="auto" w:sz="4" w:space="0"/>
            </w:tcBorders>
            <w:vAlign w:val="center"/>
          </w:tcPr>
          <w:p>
            <w:pPr>
              <w:jc w:val="center"/>
              <w:rPr>
                <w:rFonts w:ascii="仿宋_GB2312"/>
                <w:sz w:val="24"/>
              </w:rPr>
            </w:pPr>
            <w:r>
              <w:rPr>
                <w:rFonts w:hint="eastAsia" w:ascii="仿宋_GB2312"/>
                <w:sz w:val="24"/>
              </w:rPr>
              <w:t>项目金额</w:t>
            </w:r>
          </w:p>
        </w:tc>
        <w:tc>
          <w:tcPr>
            <w:tcW w:w="6946" w:type="dxa"/>
            <w:tcBorders>
              <w:top w:val="single" w:color="auto" w:sz="4" w:space="0"/>
              <w:left w:val="single" w:color="auto" w:sz="4" w:space="0"/>
              <w:bottom w:val="single" w:color="auto" w:sz="4" w:space="0"/>
              <w:right w:val="single" w:color="auto" w:sz="4" w:space="0"/>
            </w:tcBorders>
            <w:vAlign w:val="center"/>
          </w:tcPr>
          <w:p>
            <w:pPr>
              <w:ind w:right="480"/>
              <w:jc w:val="right"/>
              <w:rPr>
                <w:rFonts w:ascii="仿宋_GB2312"/>
                <w:sz w:val="24"/>
              </w:rPr>
            </w:pPr>
            <w:r>
              <w:rPr>
                <w:rFonts w:hint="eastAsia" w:ascii="仿宋_GB2312"/>
                <w:sz w:val="24"/>
              </w:rPr>
              <w:t>3万元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6" w:hRule="atLeast"/>
          <w:jc w:val="center"/>
        </w:trPr>
        <w:tc>
          <w:tcPr>
            <w:tcW w:w="8958" w:type="dxa"/>
            <w:gridSpan w:val="2"/>
            <w:tcBorders>
              <w:top w:val="single" w:color="auto" w:sz="4" w:space="0"/>
              <w:left w:val="single" w:color="auto" w:sz="4" w:space="0"/>
              <w:bottom w:val="single" w:color="auto" w:sz="4" w:space="0"/>
              <w:right w:val="single" w:color="auto" w:sz="4" w:space="0"/>
            </w:tcBorders>
          </w:tcPr>
          <w:p>
            <w:pPr>
              <w:jc w:val="left"/>
              <w:rPr>
                <w:rFonts w:ascii="仿宋_GB2312" w:hAnsi="仿宋"/>
                <w:bCs/>
                <w:sz w:val="21"/>
                <w:szCs w:val="21"/>
              </w:rPr>
            </w:pPr>
            <w:r>
              <w:rPr>
                <w:rFonts w:hint="eastAsia" w:ascii="仿宋_GB2312" w:hAnsi="仿宋"/>
                <w:bCs/>
                <w:sz w:val="21"/>
                <w:szCs w:val="21"/>
              </w:rPr>
              <w:t>列出经费使用方向，包括购实实验仪器设备、耗材、图书资料、学术交流等费用。</w:t>
            </w:r>
          </w:p>
          <w:p>
            <w:pPr>
              <w:numPr>
                <w:ilvl w:val="0"/>
                <w:numId w:val="5"/>
              </w:numPr>
              <w:tabs>
                <w:tab w:val="left" w:pos="2293"/>
              </w:tabs>
              <w:spacing w:line="360" w:lineRule="auto"/>
              <w:rPr>
                <w:rFonts w:ascii="仿宋" w:hAnsi="仿宋" w:eastAsia="仿宋"/>
                <w:sz w:val="24"/>
              </w:rPr>
            </w:pPr>
            <w:r>
              <w:rPr>
                <w:rFonts w:ascii="仿宋" w:hAnsi="仿宋" w:eastAsia="仿宋"/>
                <w:sz w:val="24"/>
              </w:rPr>
              <w:t>试验耗材</w:t>
            </w:r>
            <w:r>
              <w:rPr>
                <w:rFonts w:hint="eastAsia" w:ascii="仿宋" w:hAnsi="仿宋" w:eastAsia="仿宋"/>
                <w:sz w:val="24"/>
              </w:rPr>
              <w:t>1.</w:t>
            </w:r>
            <w:r>
              <w:rPr>
                <w:rFonts w:ascii="仿宋" w:hAnsi="仿宋" w:eastAsia="仿宋"/>
                <w:sz w:val="24"/>
              </w:rPr>
              <w:t>98万元；</w:t>
            </w:r>
          </w:p>
          <w:p>
            <w:pPr>
              <w:numPr>
                <w:ilvl w:val="0"/>
                <w:numId w:val="5"/>
              </w:numPr>
              <w:tabs>
                <w:tab w:val="left" w:pos="2293"/>
              </w:tabs>
              <w:spacing w:line="360" w:lineRule="auto"/>
              <w:rPr>
                <w:rFonts w:ascii="仿宋" w:hAnsi="仿宋" w:eastAsia="仿宋"/>
                <w:sz w:val="24"/>
              </w:rPr>
            </w:pPr>
            <w:r>
              <w:rPr>
                <w:rFonts w:ascii="仿宋" w:hAnsi="仿宋" w:eastAsia="仿宋"/>
                <w:sz w:val="24"/>
              </w:rPr>
              <w:t>论文出版及检索费用0.22万元；</w:t>
            </w:r>
          </w:p>
          <w:p>
            <w:pPr>
              <w:numPr>
                <w:ilvl w:val="0"/>
                <w:numId w:val="5"/>
              </w:numPr>
              <w:tabs>
                <w:tab w:val="left" w:pos="2293"/>
              </w:tabs>
              <w:spacing w:line="360" w:lineRule="auto"/>
              <w:rPr>
                <w:rFonts w:ascii="仿宋" w:hAnsi="仿宋" w:eastAsia="仿宋"/>
                <w:sz w:val="24"/>
              </w:rPr>
            </w:pPr>
            <w:r>
              <w:rPr>
                <w:rFonts w:ascii="仿宋" w:hAnsi="仿宋" w:eastAsia="仿宋"/>
                <w:sz w:val="24"/>
              </w:rPr>
              <w:t>打印装订等0.</w:t>
            </w:r>
            <w:r>
              <w:rPr>
                <w:rFonts w:hint="eastAsia" w:ascii="仿宋" w:hAnsi="仿宋" w:eastAsia="仿宋"/>
                <w:sz w:val="24"/>
              </w:rPr>
              <w:t>2</w:t>
            </w:r>
            <w:r>
              <w:rPr>
                <w:rFonts w:ascii="仿宋" w:hAnsi="仿宋" w:eastAsia="仿宋"/>
                <w:sz w:val="24"/>
              </w:rPr>
              <w:t>万元；</w:t>
            </w:r>
          </w:p>
          <w:p>
            <w:pPr>
              <w:numPr>
                <w:ilvl w:val="0"/>
                <w:numId w:val="5"/>
              </w:numPr>
              <w:tabs>
                <w:tab w:val="left" w:pos="2293"/>
              </w:tabs>
              <w:spacing w:line="360" w:lineRule="auto"/>
              <w:jc w:val="left"/>
              <w:rPr>
                <w:rFonts w:ascii="仿宋" w:hAnsi="仿宋" w:eastAsia="仿宋"/>
                <w:sz w:val="21"/>
                <w:szCs w:val="21"/>
              </w:rPr>
            </w:pPr>
            <w:r>
              <w:rPr>
                <w:rFonts w:hint="eastAsia" w:ascii="仿宋" w:hAnsi="仿宋" w:eastAsia="仿宋"/>
                <w:sz w:val="24"/>
              </w:rPr>
              <w:t>调研和</w:t>
            </w:r>
            <w:r>
              <w:rPr>
                <w:rFonts w:ascii="仿宋" w:hAnsi="仿宋" w:eastAsia="仿宋"/>
                <w:sz w:val="24"/>
              </w:rPr>
              <w:t>学术交流0</w:t>
            </w:r>
            <w:r>
              <w:rPr>
                <w:rFonts w:hint="eastAsia" w:ascii="仿宋" w:hAnsi="仿宋" w:eastAsia="仿宋"/>
                <w:sz w:val="24"/>
              </w:rPr>
              <w:t>.</w:t>
            </w:r>
            <w:r>
              <w:rPr>
                <w:rFonts w:ascii="仿宋" w:hAnsi="仿宋" w:eastAsia="仿宋"/>
                <w:sz w:val="24"/>
              </w:rPr>
              <w:t>6万元。</w:t>
            </w:r>
          </w:p>
          <w:p>
            <w:pPr>
              <w:jc w:val="left"/>
              <w:rPr>
                <w:rFonts w:ascii="仿宋_GB2312" w:hAnsi="仿宋"/>
                <w:bCs/>
                <w:sz w:val="21"/>
                <w:szCs w:val="21"/>
              </w:rPr>
            </w:pPr>
          </w:p>
          <w:p>
            <w:pPr>
              <w:jc w:val="left"/>
              <w:rPr>
                <w:rFonts w:ascii="仿宋_GB2312" w:hAnsi="仿宋"/>
                <w:bCs/>
                <w:sz w:val="21"/>
                <w:szCs w:val="21"/>
              </w:rPr>
            </w:pPr>
          </w:p>
        </w:tc>
      </w:tr>
    </w:tbl>
    <w:p>
      <w:pPr>
        <w:rPr>
          <w:rFonts w:eastAsia="黑体"/>
          <w:szCs w:val="20"/>
        </w:rPr>
      </w:pPr>
      <w:r>
        <w:rPr>
          <w:rFonts w:hint="eastAsia" w:eastAsia="黑体"/>
        </w:rPr>
        <w:t>五、考核结论</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0" w:hRule="atLeast"/>
          <w:jc w:val="center"/>
        </w:trPr>
        <w:tc>
          <w:tcPr>
            <w:tcW w:w="8941" w:type="dxa"/>
            <w:tcBorders>
              <w:top w:val="single" w:color="auto" w:sz="4" w:space="0"/>
              <w:left w:val="single" w:color="auto" w:sz="4" w:space="0"/>
              <w:bottom w:val="single" w:color="auto" w:sz="4" w:space="0"/>
              <w:right w:val="single" w:color="auto" w:sz="4" w:space="0"/>
            </w:tcBorders>
          </w:tcPr>
          <w:p>
            <w:pPr>
              <w:snapToGrid w:val="0"/>
              <w:rPr>
                <w:sz w:val="21"/>
              </w:rPr>
            </w:pPr>
            <w:r>
              <w:rPr>
                <w:rFonts w:hint="eastAsia"/>
                <w:sz w:val="21"/>
              </w:rPr>
              <w:t>主要内容包括：项目完成情况，在教学水平、科研能力、团队建设、社会服务等方面完成培养计划情况，今后发展意见建议和努力方向。考核等次意见。</w:t>
            </w:r>
          </w:p>
          <w:p>
            <w:pPr>
              <w:rPr>
                <w:sz w:val="28"/>
              </w:rPr>
            </w:pPr>
          </w:p>
          <w:p>
            <w:pPr>
              <w:rPr>
                <w:sz w:val="28"/>
              </w:rPr>
            </w:pPr>
          </w:p>
          <w:p>
            <w:pPr>
              <w:rPr>
                <w:sz w:val="28"/>
              </w:rPr>
            </w:pPr>
          </w:p>
          <w:p>
            <w:pPr>
              <w:rPr>
                <w:sz w:val="28"/>
              </w:rPr>
            </w:pPr>
          </w:p>
          <w:p>
            <w:pPr>
              <w:rPr>
                <w:sz w:val="28"/>
              </w:rPr>
            </w:pPr>
          </w:p>
          <w:p>
            <w:pPr>
              <w:rPr>
                <w:sz w:val="24"/>
              </w:rPr>
            </w:pPr>
            <w:r>
              <w:rPr>
                <w:rFonts w:hint="eastAsia"/>
                <w:sz w:val="28"/>
              </w:rPr>
              <w:t>　　　　　　　　　　　　　</w:t>
            </w:r>
            <w:r>
              <w:rPr>
                <w:rFonts w:hint="eastAsia"/>
                <w:sz w:val="24"/>
              </w:rPr>
              <w:t>考核专家组长：</w:t>
            </w:r>
          </w:p>
          <w:p>
            <w:pPr>
              <w:rPr>
                <w:sz w:val="24"/>
              </w:rPr>
            </w:pPr>
          </w:p>
          <w:p>
            <w:pPr>
              <w:rPr>
                <w:sz w:val="28"/>
              </w:rPr>
            </w:pPr>
            <w:r>
              <w:rPr>
                <w:rFonts w:hint="eastAsia"/>
                <w:sz w:val="28"/>
              </w:rPr>
              <w:t>　　　　　　　　　　　　　　　　　　　　年　　月　　日</w:t>
            </w:r>
          </w:p>
        </w:tc>
      </w:tr>
    </w:tbl>
    <w:p>
      <w:pPr>
        <w:rPr>
          <w:rFonts w:ascii="黑体" w:eastAsia="黑体"/>
          <w:szCs w:val="20"/>
        </w:rPr>
      </w:pPr>
      <w:r>
        <w:br w:type="page"/>
      </w:r>
      <w:r>
        <w:rPr>
          <w:rFonts w:hint="eastAsia" w:ascii="黑体" w:eastAsia="黑体"/>
        </w:rPr>
        <w:t>六、鉴定专家名单</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9"/>
        <w:gridCol w:w="1417"/>
        <w:gridCol w:w="2725"/>
        <w:gridCol w:w="2126"/>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99" w:type="dxa"/>
            <w:tcBorders>
              <w:top w:val="single" w:color="auto" w:sz="4" w:space="0"/>
              <w:left w:val="single" w:color="auto" w:sz="4" w:space="0"/>
              <w:bottom w:val="single" w:color="auto" w:sz="4" w:space="0"/>
              <w:right w:val="single" w:color="auto" w:sz="4" w:space="0"/>
            </w:tcBorders>
            <w:vAlign w:val="center"/>
          </w:tcPr>
          <w:p>
            <w:pPr>
              <w:jc w:val="center"/>
              <w:rPr>
                <w:rFonts w:ascii="黑体" w:hAnsi="仿宋" w:eastAsia="黑体"/>
                <w:sz w:val="28"/>
              </w:rPr>
            </w:pPr>
            <w:r>
              <w:rPr>
                <w:rFonts w:hint="eastAsia" w:ascii="黑体" w:hAnsi="仿宋" w:eastAsia="黑体"/>
                <w:sz w:val="28"/>
              </w:rPr>
              <w:t>姓名</w:t>
            </w:r>
          </w:p>
        </w:tc>
        <w:tc>
          <w:tcPr>
            <w:tcW w:w="1417" w:type="dxa"/>
            <w:tcBorders>
              <w:top w:val="single" w:color="auto" w:sz="4" w:space="0"/>
              <w:left w:val="single" w:color="auto" w:sz="4" w:space="0"/>
              <w:bottom w:val="single" w:color="auto" w:sz="4" w:space="0"/>
              <w:right w:val="single" w:color="auto" w:sz="4" w:space="0"/>
            </w:tcBorders>
            <w:vAlign w:val="center"/>
          </w:tcPr>
          <w:p>
            <w:pPr>
              <w:jc w:val="center"/>
              <w:rPr>
                <w:rFonts w:ascii="黑体" w:hAnsi="仿宋" w:eastAsia="黑体"/>
                <w:sz w:val="28"/>
              </w:rPr>
            </w:pPr>
            <w:r>
              <w:rPr>
                <w:rFonts w:hint="eastAsia" w:ascii="黑体" w:hAnsi="仿宋" w:eastAsia="黑体"/>
                <w:sz w:val="28"/>
              </w:rPr>
              <w:t>职称</w:t>
            </w:r>
          </w:p>
        </w:tc>
        <w:tc>
          <w:tcPr>
            <w:tcW w:w="2725" w:type="dxa"/>
            <w:tcBorders>
              <w:top w:val="single" w:color="auto" w:sz="4" w:space="0"/>
              <w:left w:val="single" w:color="auto" w:sz="4" w:space="0"/>
              <w:bottom w:val="single" w:color="auto" w:sz="4" w:space="0"/>
              <w:right w:val="single" w:color="auto" w:sz="4" w:space="0"/>
            </w:tcBorders>
            <w:vAlign w:val="center"/>
          </w:tcPr>
          <w:p>
            <w:pPr>
              <w:jc w:val="center"/>
              <w:rPr>
                <w:rFonts w:ascii="黑体" w:hAnsi="仿宋" w:eastAsia="黑体"/>
                <w:sz w:val="28"/>
              </w:rPr>
            </w:pPr>
            <w:r>
              <w:rPr>
                <w:rFonts w:hint="eastAsia" w:ascii="黑体" w:hAnsi="仿宋" w:eastAsia="黑体"/>
                <w:sz w:val="28"/>
              </w:rPr>
              <w:t>学科专业领域</w:t>
            </w:r>
          </w:p>
        </w:tc>
        <w:tc>
          <w:tcPr>
            <w:tcW w:w="2126" w:type="dxa"/>
            <w:tcBorders>
              <w:top w:val="single" w:color="auto" w:sz="4" w:space="0"/>
              <w:left w:val="single" w:color="auto" w:sz="4" w:space="0"/>
              <w:bottom w:val="single" w:color="auto" w:sz="4" w:space="0"/>
              <w:right w:val="single" w:color="auto" w:sz="4" w:space="0"/>
            </w:tcBorders>
            <w:vAlign w:val="center"/>
          </w:tcPr>
          <w:p>
            <w:pPr>
              <w:jc w:val="center"/>
              <w:rPr>
                <w:rFonts w:ascii="黑体" w:hAnsi="仿宋" w:eastAsia="黑体"/>
                <w:sz w:val="28"/>
              </w:rPr>
            </w:pPr>
            <w:r>
              <w:rPr>
                <w:rFonts w:hint="eastAsia" w:ascii="黑体" w:hAnsi="仿宋" w:eastAsia="黑体"/>
                <w:sz w:val="28"/>
              </w:rPr>
              <w:t>单位</w:t>
            </w:r>
          </w:p>
        </w:tc>
        <w:tc>
          <w:tcPr>
            <w:tcW w:w="1585" w:type="dxa"/>
            <w:tcBorders>
              <w:top w:val="single" w:color="auto" w:sz="4" w:space="0"/>
              <w:left w:val="single" w:color="auto" w:sz="4" w:space="0"/>
              <w:bottom w:val="single" w:color="auto" w:sz="4" w:space="0"/>
              <w:right w:val="single" w:color="auto" w:sz="4" w:space="0"/>
            </w:tcBorders>
            <w:vAlign w:val="center"/>
          </w:tcPr>
          <w:p>
            <w:pPr>
              <w:jc w:val="center"/>
              <w:rPr>
                <w:rFonts w:ascii="黑体" w:hAnsi="仿宋" w:eastAsia="黑体"/>
                <w:sz w:val="28"/>
              </w:rPr>
            </w:pPr>
            <w:r>
              <w:rPr>
                <w:rFonts w:hint="eastAsia" w:ascii="黑体" w:hAnsi="仿宋" w:eastAsia="黑体"/>
                <w:sz w:val="28"/>
              </w:rPr>
              <w:t>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99" w:type="dxa"/>
            <w:tcBorders>
              <w:top w:val="single" w:color="auto" w:sz="4" w:space="0"/>
              <w:left w:val="single" w:color="auto" w:sz="4" w:space="0"/>
              <w:bottom w:val="single" w:color="auto" w:sz="4" w:space="0"/>
              <w:right w:val="single" w:color="auto" w:sz="4" w:space="0"/>
            </w:tcBorders>
            <w:vAlign w:val="center"/>
          </w:tcPr>
          <w:p>
            <w:pPr>
              <w:rPr>
                <w:sz w:val="21"/>
              </w:rPr>
            </w:pPr>
          </w:p>
        </w:tc>
        <w:tc>
          <w:tcPr>
            <w:tcW w:w="1417" w:type="dxa"/>
            <w:tcBorders>
              <w:top w:val="single" w:color="auto" w:sz="4" w:space="0"/>
              <w:left w:val="single" w:color="auto" w:sz="4" w:space="0"/>
              <w:bottom w:val="single" w:color="auto" w:sz="4" w:space="0"/>
              <w:right w:val="single" w:color="auto" w:sz="4" w:space="0"/>
            </w:tcBorders>
            <w:vAlign w:val="center"/>
          </w:tcPr>
          <w:p>
            <w:pPr>
              <w:rPr>
                <w:sz w:val="21"/>
              </w:rPr>
            </w:pPr>
          </w:p>
        </w:tc>
        <w:tc>
          <w:tcPr>
            <w:tcW w:w="2725" w:type="dxa"/>
            <w:tcBorders>
              <w:top w:val="single" w:color="auto" w:sz="4" w:space="0"/>
              <w:left w:val="single" w:color="auto" w:sz="4" w:space="0"/>
              <w:bottom w:val="single" w:color="auto" w:sz="4" w:space="0"/>
              <w:right w:val="single" w:color="auto" w:sz="4" w:space="0"/>
            </w:tcBorders>
            <w:vAlign w:val="center"/>
          </w:tcPr>
          <w:p>
            <w:pPr>
              <w:rPr>
                <w:sz w:val="21"/>
              </w:rPr>
            </w:pPr>
          </w:p>
        </w:tc>
        <w:tc>
          <w:tcPr>
            <w:tcW w:w="2126" w:type="dxa"/>
            <w:tcBorders>
              <w:top w:val="single" w:color="auto" w:sz="4" w:space="0"/>
              <w:left w:val="single" w:color="auto" w:sz="4" w:space="0"/>
              <w:bottom w:val="single" w:color="auto" w:sz="4" w:space="0"/>
              <w:right w:val="single" w:color="auto" w:sz="4" w:space="0"/>
            </w:tcBorders>
            <w:vAlign w:val="center"/>
          </w:tcPr>
          <w:p>
            <w:pPr>
              <w:rPr>
                <w:sz w:val="21"/>
              </w:rPr>
            </w:pPr>
          </w:p>
        </w:tc>
        <w:tc>
          <w:tcPr>
            <w:tcW w:w="1585" w:type="dxa"/>
            <w:tcBorders>
              <w:top w:val="single" w:color="auto" w:sz="4" w:space="0"/>
              <w:left w:val="single" w:color="auto" w:sz="4" w:space="0"/>
              <w:bottom w:val="single" w:color="auto" w:sz="4" w:space="0"/>
              <w:right w:val="single" w:color="auto" w:sz="4" w:space="0"/>
            </w:tcBorders>
          </w:tcPr>
          <w:p>
            <w:pPr>
              <w:rPr>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99" w:type="dxa"/>
            <w:tcBorders>
              <w:top w:val="single" w:color="auto" w:sz="4" w:space="0"/>
              <w:left w:val="single" w:color="auto" w:sz="4" w:space="0"/>
              <w:bottom w:val="single" w:color="auto" w:sz="4" w:space="0"/>
              <w:right w:val="single" w:color="auto" w:sz="4" w:space="0"/>
            </w:tcBorders>
            <w:vAlign w:val="center"/>
          </w:tcPr>
          <w:p>
            <w:pPr>
              <w:rPr>
                <w:sz w:val="21"/>
              </w:rPr>
            </w:pPr>
          </w:p>
        </w:tc>
        <w:tc>
          <w:tcPr>
            <w:tcW w:w="1417" w:type="dxa"/>
            <w:tcBorders>
              <w:top w:val="single" w:color="auto" w:sz="4" w:space="0"/>
              <w:left w:val="single" w:color="auto" w:sz="4" w:space="0"/>
              <w:bottom w:val="single" w:color="auto" w:sz="4" w:space="0"/>
              <w:right w:val="single" w:color="auto" w:sz="4" w:space="0"/>
            </w:tcBorders>
            <w:vAlign w:val="center"/>
          </w:tcPr>
          <w:p>
            <w:pPr>
              <w:rPr>
                <w:sz w:val="21"/>
              </w:rPr>
            </w:pPr>
          </w:p>
        </w:tc>
        <w:tc>
          <w:tcPr>
            <w:tcW w:w="2725" w:type="dxa"/>
            <w:tcBorders>
              <w:top w:val="single" w:color="auto" w:sz="4" w:space="0"/>
              <w:left w:val="single" w:color="auto" w:sz="4" w:space="0"/>
              <w:bottom w:val="single" w:color="auto" w:sz="4" w:space="0"/>
              <w:right w:val="single" w:color="auto" w:sz="4" w:space="0"/>
            </w:tcBorders>
            <w:vAlign w:val="center"/>
          </w:tcPr>
          <w:p>
            <w:pPr>
              <w:rPr>
                <w:sz w:val="21"/>
              </w:rPr>
            </w:pPr>
          </w:p>
        </w:tc>
        <w:tc>
          <w:tcPr>
            <w:tcW w:w="2126" w:type="dxa"/>
            <w:tcBorders>
              <w:top w:val="single" w:color="auto" w:sz="4" w:space="0"/>
              <w:left w:val="single" w:color="auto" w:sz="4" w:space="0"/>
              <w:bottom w:val="single" w:color="auto" w:sz="4" w:space="0"/>
              <w:right w:val="single" w:color="auto" w:sz="4" w:space="0"/>
            </w:tcBorders>
            <w:vAlign w:val="center"/>
          </w:tcPr>
          <w:p>
            <w:pPr>
              <w:rPr>
                <w:sz w:val="21"/>
              </w:rPr>
            </w:pPr>
          </w:p>
        </w:tc>
        <w:tc>
          <w:tcPr>
            <w:tcW w:w="1585" w:type="dxa"/>
            <w:tcBorders>
              <w:top w:val="single" w:color="auto" w:sz="4" w:space="0"/>
              <w:left w:val="single" w:color="auto" w:sz="4" w:space="0"/>
              <w:bottom w:val="single" w:color="auto" w:sz="4" w:space="0"/>
              <w:right w:val="single" w:color="auto" w:sz="4" w:space="0"/>
            </w:tcBorders>
          </w:tcPr>
          <w:p>
            <w:pPr>
              <w:rPr>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99" w:type="dxa"/>
            <w:tcBorders>
              <w:top w:val="single" w:color="auto" w:sz="4" w:space="0"/>
              <w:left w:val="single" w:color="auto" w:sz="4" w:space="0"/>
              <w:bottom w:val="single" w:color="auto" w:sz="4" w:space="0"/>
              <w:right w:val="single" w:color="auto" w:sz="4" w:space="0"/>
            </w:tcBorders>
            <w:vAlign w:val="center"/>
          </w:tcPr>
          <w:p>
            <w:pPr>
              <w:rPr>
                <w:sz w:val="21"/>
              </w:rPr>
            </w:pPr>
          </w:p>
        </w:tc>
        <w:tc>
          <w:tcPr>
            <w:tcW w:w="1417" w:type="dxa"/>
            <w:tcBorders>
              <w:top w:val="single" w:color="auto" w:sz="4" w:space="0"/>
              <w:left w:val="single" w:color="auto" w:sz="4" w:space="0"/>
              <w:bottom w:val="single" w:color="auto" w:sz="4" w:space="0"/>
              <w:right w:val="single" w:color="auto" w:sz="4" w:space="0"/>
            </w:tcBorders>
            <w:vAlign w:val="center"/>
          </w:tcPr>
          <w:p>
            <w:pPr>
              <w:rPr>
                <w:sz w:val="21"/>
              </w:rPr>
            </w:pPr>
          </w:p>
        </w:tc>
        <w:tc>
          <w:tcPr>
            <w:tcW w:w="2725" w:type="dxa"/>
            <w:tcBorders>
              <w:top w:val="single" w:color="auto" w:sz="4" w:space="0"/>
              <w:left w:val="single" w:color="auto" w:sz="4" w:space="0"/>
              <w:bottom w:val="single" w:color="auto" w:sz="4" w:space="0"/>
              <w:right w:val="single" w:color="auto" w:sz="4" w:space="0"/>
            </w:tcBorders>
            <w:vAlign w:val="center"/>
          </w:tcPr>
          <w:p>
            <w:pPr>
              <w:rPr>
                <w:sz w:val="21"/>
              </w:rPr>
            </w:pPr>
          </w:p>
        </w:tc>
        <w:tc>
          <w:tcPr>
            <w:tcW w:w="2126" w:type="dxa"/>
            <w:tcBorders>
              <w:top w:val="single" w:color="auto" w:sz="4" w:space="0"/>
              <w:left w:val="single" w:color="auto" w:sz="4" w:space="0"/>
              <w:bottom w:val="single" w:color="auto" w:sz="4" w:space="0"/>
              <w:right w:val="single" w:color="auto" w:sz="4" w:space="0"/>
            </w:tcBorders>
            <w:vAlign w:val="center"/>
          </w:tcPr>
          <w:p>
            <w:pPr>
              <w:rPr>
                <w:sz w:val="21"/>
              </w:rPr>
            </w:pPr>
          </w:p>
        </w:tc>
        <w:tc>
          <w:tcPr>
            <w:tcW w:w="1585" w:type="dxa"/>
            <w:tcBorders>
              <w:top w:val="single" w:color="auto" w:sz="4" w:space="0"/>
              <w:left w:val="single" w:color="auto" w:sz="4" w:space="0"/>
              <w:bottom w:val="single" w:color="auto" w:sz="4" w:space="0"/>
              <w:right w:val="single" w:color="auto" w:sz="4" w:space="0"/>
            </w:tcBorders>
          </w:tcPr>
          <w:p>
            <w:pPr>
              <w:rPr>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99" w:type="dxa"/>
            <w:tcBorders>
              <w:top w:val="single" w:color="auto" w:sz="4" w:space="0"/>
              <w:left w:val="single" w:color="auto" w:sz="4" w:space="0"/>
              <w:bottom w:val="single" w:color="auto" w:sz="4" w:space="0"/>
              <w:right w:val="single" w:color="auto" w:sz="4" w:space="0"/>
            </w:tcBorders>
            <w:vAlign w:val="center"/>
          </w:tcPr>
          <w:p>
            <w:pPr>
              <w:rPr>
                <w:sz w:val="21"/>
              </w:rPr>
            </w:pPr>
          </w:p>
        </w:tc>
        <w:tc>
          <w:tcPr>
            <w:tcW w:w="1417" w:type="dxa"/>
            <w:tcBorders>
              <w:top w:val="single" w:color="auto" w:sz="4" w:space="0"/>
              <w:left w:val="single" w:color="auto" w:sz="4" w:space="0"/>
              <w:bottom w:val="single" w:color="auto" w:sz="4" w:space="0"/>
              <w:right w:val="single" w:color="auto" w:sz="4" w:space="0"/>
            </w:tcBorders>
            <w:vAlign w:val="center"/>
          </w:tcPr>
          <w:p>
            <w:pPr>
              <w:rPr>
                <w:sz w:val="21"/>
              </w:rPr>
            </w:pPr>
          </w:p>
        </w:tc>
        <w:tc>
          <w:tcPr>
            <w:tcW w:w="2725" w:type="dxa"/>
            <w:tcBorders>
              <w:top w:val="single" w:color="auto" w:sz="4" w:space="0"/>
              <w:left w:val="single" w:color="auto" w:sz="4" w:space="0"/>
              <w:bottom w:val="single" w:color="auto" w:sz="4" w:space="0"/>
              <w:right w:val="single" w:color="auto" w:sz="4" w:space="0"/>
            </w:tcBorders>
            <w:vAlign w:val="center"/>
          </w:tcPr>
          <w:p>
            <w:pPr>
              <w:rPr>
                <w:sz w:val="21"/>
              </w:rPr>
            </w:pPr>
          </w:p>
        </w:tc>
        <w:tc>
          <w:tcPr>
            <w:tcW w:w="2126" w:type="dxa"/>
            <w:tcBorders>
              <w:top w:val="single" w:color="auto" w:sz="4" w:space="0"/>
              <w:left w:val="single" w:color="auto" w:sz="4" w:space="0"/>
              <w:bottom w:val="single" w:color="auto" w:sz="4" w:space="0"/>
              <w:right w:val="single" w:color="auto" w:sz="4" w:space="0"/>
            </w:tcBorders>
            <w:vAlign w:val="center"/>
          </w:tcPr>
          <w:p>
            <w:pPr>
              <w:rPr>
                <w:sz w:val="21"/>
              </w:rPr>
            </w:pPr>
          </w:p>
        </w:tc>
        <w:tc>
          <w:tcPr>
            <w:tcW w:w="1585" w:type="dxa"/>
            <w:tcBorders>
              <w:top w:val="single" w:color="auto" w:sz="4" w:space="0"/>
              <w:left w:val="single" w:color="auto" w:sz="4" w:space="0"/>
              <w:bottom w:val="single" w:color="auto" w:sz="4" w:space="0"/>
              <w:right w:val="single" w:color="auto" w:sz="4" w:space="0"/>
            </w:tcBorders>
          </w:tcPr>
          <w:p>
            <w:pPr>
              <w:rPr>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99" w:type="dxa"/>
            <w:tcBorders>
              <w:top w:val="single" w:color="auto" w:sz="4" w:space="0"/>
              <w:left w:val="single" w:color="auto" w:sz="4" w:space="0"/>
              <w:bottom w:val="single" w:color="auto" w:sz="4" w:space="0"/>
              <w:right w:val="single" w:color="auto" w:sz="4" w:space="0"/>
            </w:tcBorders>
            <w:vAlign w:val="center"/>
          </w:tcPr>
          <w:p>
            <w:pPr>
              <w:rPr>
                <w:sz w:val="21"/>
              </w:rPr>
            </w:pPr>
          </w:p>
        </w:tc>
        <w:tc>
          <w:tcPr>
            <w:tcW w:w="1417" w:type="dxa"/>
            <w:tcBorders>
              <w:top w:val="single" w:color="auto" w:sz="4" w:space="0"/>
              <w:left w:val="single" w:color="auto" w:sz="4" w:space="0"/>
              <w:bottom w:val="single" w:color="auto" w:sz="4" w:space="0"/>
              <w:right w:val="single" w:color="auto" w:sz="4" w:space="0"/>
            </w:tcBorders>
            <w:vAlign w:val="center"/>
          </w:tcPr>
          <w:p>
            <w:pPr>
              <w:rPr>
                <w:sz w:val="21"/>
              </w:rPr>
            </w:pPr>
          </w:p>
        </w:tc>
        <w:tc>
          <w:tcPr>
            <w:tcW w:w="2725" w:type="dxa"/>
            <w:tcBorders>
              <w:top w:val="single" w:color="auto" w:sz="4" w:space="0"/>
              <w:left w:val="single" w:color="auto" w:sz="4" w:space="0"/>
              <w:bottom w:val="single" w:color="auto" w:sz="4" w:space="0"/>
              <w:right w:val="single" w:color="auto" w:sz="4" w:space="0"/>
            </w:tcBorders>
            <w:vAlign w:val="center"/>
          </w:tcPr>
          <w:p>
            <w:pPr>
              <w:rPr>
                <w:sz w:val="21"/>
              </w:rPr>
            </w:pPr>
          </w:p>
        </w:tc>
        <w:tc>
          <w:tcPr>
            <w:tcW w:w="2126" w:type="dxa"/>
            <w:tcBorders>
              <w:top w:val="single" w:color="auto" w:sz="4" w:space="0"/>
              <w:left w:val="single" w:color="auto" w:sz="4" w:space="0"/>
              <w:bottom w:val="single" w:color="auto" w:sz="4" w:space="0"/>
              <w:right w:val="single" w:color="auto" w:sz="4" w:space="0"/>
            </w:tcBorders>
            <w:vAlign w:val="center"/>
          </w:tcPr>
          <w:p>
            <w:pPr>
              <w:rPr>
                <w:sz w:val="21"/>
              </w:rPr>
            </w:pPr>
          </w:p>
        </w:tc>
        <w:tc>
          <w:tcPr>
            <w:tcW w:w="1585" w:type="dxa"/>
            <w:tcBorders>
              <w:top w:val="single" w:color="auto" w:sz="4" w:space="0"/>
              <w:left w:val="single" w:color="auto" w:sz="4" w:space="0"/>
              <w:bottom w:val="single" w:color="auto" w:sz="4" w:space="0"/>
              <w:right w:val="single" w:color="auto" w:sz="4" w:space="0"/>
            </w:tcBorders>
          </w:tcPr>
          <w:p>
            <w:pPr>
              <w:rPr>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99" w:type="dxa"/>
            <w:tcBorders>
              <w:top w:val="single" w:color="auto" w:sz="4" w:space="0"/>
              <w:left w:val="single" w:color="auto" w:sz="4" w:space="0"/>
              <w:bottom w:val="single" w:color="auto" w:sz="4" w:space="0"/>
              <w:right w:val="single" w:color="auto" w:sz="4" w:space="0"/>
            </w:tcBorders>
            <w:vAlign w:val="center"/>
          </w:tcPr>
          <w:p>
            <w:pPr>
              <w:rPr>
                <w:sz w:val="21"/>
              </w:rPr>
            </w:pPr>
          </w:p>
        </w:tc>
        <w:tc>
          <w:tcPr>
            <w:tcW w:w="1417" w:type="dxa"/>
            <w:tcBorders>
              <w:top w:val="single" w:color="auto" w:sz="4" w:space="0"/>
              <w:left w:val="single" w:color="auto" w:sz="4" w:space="0"/>
              <w:bottom w:val="single" w:color="auto" w:sz="4" w:space="0"/>
              <w:right w:val="single" w:color="auto" w:sz="4" w:space="0"/>
            </w:tcBorders>
            <w:vAlign w:val="center"/>
          </w:tcPr>
          <w:p>
            <w:pPr>
              <w:rPr>
                <w:sz w:val="21"/>
              </w:rPr>
            </w:pPr>
          </w:p>
        </w:tc>
        <w:tc>
          <w:tcPr>
            <w:tcW w:w="2725" w:type="dxa"/>
            <w:tcBorders>
              <w:top w:val="single" w:color="auto" w:sz="4" w:space="0"/>
              <w:left w:val="single" w:color="auto" w:sz="4" w:space="0"/>
              <w:bottom w:val="single" w:color="auto" w:sz="4" w:space="0"/>
              <w:right w:val="single" w:color="auto" w:sz="4" w:space="0"/>
            </w:tcBorders>
            <w:vAlign w:val="center"/>
          </w:tcPr>
          <w:p>
            <w:pPr>
              <w:rPr>
                <w:sz w:val="21"/>
              </w:rPr>
            </w:pPr>
          </w:p>
        </w:tc>
        <w:tc>
          <w:tcPr>
            <w:tcW w:w="2126" w:type="dxa"/>
            <w:tcBorders>
              <w:top w:val="single" w:color="auto" w:sz="4" w:space="0"/>
              <w:left w:val="single" w:color="auto" w:sz="4" w:space="0"/>
              <w:bottom w:val="single" w:color="auto" w:sz="4" w:space="0"/>
              <w:right w:val="single" w:color="auto" w:sz="4" w:space="0"/>
            </w:tcBorders>
            <w:vAlign w:val="center"/>
          </w:tcPr>
          <w:p>
            <w:pPr>
              <w:rPr>
                <w:sz w:val="21"/>
              </w:rPr>
            </w:pPr>
          </w:p>
        </w:tc>
        <w:tc>
          <w:tcPr>
            <w:tcW w:w="1585" w:type="dxa"/>
            <w:tcBorders>
              <w:top w:val="single" w:color="auto" w:sz="4" w:space="0"/>
              <w:left w:val="single" w:color="auto" w:sz="4" w:space="0"/>
              <w:bottom w:val="single" w:color="auto" w:sz="4" w:space="0"/>
              <w:right w:val="single" w:color="auto" w:sz="4" w:space="0"/>
            </w:tcBorders>
          </w:tcPr>
          <w:p>
            <w:pPr>
              <w:rPr>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099" w:type="dxa"/>
            <w:tcBorders>
              <w:top w:val="single" w:color="auto" w:sz="4" w:space="0"/>
              <w:left w:val="single" w:color="auto" w:sz="4" w:space="0"/>
              <w:bottom w:val="single" w:color="auto" w:sz="4" w:space="0"/>
              <w:right w:val="single" w:color="auto" w:sz="4" w:space="0"/>
            </w:tcBorders>
            <w:vAlign w:val="center"/>
          </w:tcPr>
          <w:p>
            <w:pPr>
              <w:rPr>
                <w:sz w:val="21"/>
              </w:rPr>
            </w:pPr>
          </w:p>
        </w:tc>
        <w:tc>
          <w:tcPr>
            <w:tcW w:w="1417" w:type="dxa"/>
            <w:tcBorders>
              <w:top w:val="single" w:color="auto" w:sz="4" w:space="0"/>
              <w:left w:val="single" w:color="auto" w:sz="4" w:space="0"/>
              <w:bottom w:val="single" w:color="auto" w:sz="4" w:space="0"/>
              <w:right w:val="single" w:color="auto" w:sz="4" w:space="0"/>
            </w:tcBorders>
            <w:vAlign w:val="center"/>
          </w:tcPr>
          <w:p>
            <w:pPr>
              <w:rPr>
                <w:sz w:val="21"/>
              </w:rPr>
            </w:pPr>
          </w:p>
        </w:tc>
        <w:tc>
          <w:tcPr>
            <w:tcW w:w="2725" w:type="dxa"/>
            <w:tcBorders>
              <w:top w:val="single" w:color="auto" w:sz="4" w:space="0"/>
              <w:left w:val="single" w:color="auto" w:sz="4" w:space="0"/>
              <w:bottom w:val="single" w:color="auto" w:sz="4" w:space="0"/>
              <w:right w:val="single" w:color="auto" w:sz="4" w:space="0"/>
            </w:tcBorders>
            <w:vAlign w:val="center"/>
          </w:tcPr>
          <w:p>
            <w:pPr>
              <w:rPr>
                <w:sz w:val="21"/>
              </w:rPr>
            </w:pPr>
          </w:p>
        </w:tc>
        <w:tc>
          <w:tcPr>
            <w:tcW w:w="2126" w:type="dxa"/>
            <w:tcBorders>
              <w:top w:val="single" w:color="auto" w:sz="4" w:space="0"/>
              <w:left w:val="single" w:color="auto" w:sz="4" w:space="0"/>
              <w:bottom w:val="single" w:color="auto" w:sz="4" w:space="0"/>
              <w:right w:val="single" w:color="auto" w:sz="4" w:space="0"/>
            </w:tcBorders>
            <w:vAlign w:val="center"/>
          </w:tcPr>
          <w:p>
            <w:pPr>
              <w:rPr>
                <w:sz w:val="21"/>
              </w:rPr>
            </w:pPr>
          </w:p>
        </w:tc>
        <w:tc>
          <w:tcPr>
            <w:tcW w:w="1585" w:type="dxa"/>
            <w:tcBorders>
              <w:top w:val="single" w:color="auto" w:sz="4" w:space="0"/>
              <w:left w:val="single" w:color="auto" w:sz="4" w:space="0"/>
              <w:bottom w:val="single" w:color="auto" w:sz="4" w:space="0"/>
              <w:right w:val="single" w:color="auto" w:sz="4" w:space="0"/>
            </w:tcBorders>
          </w:tcPr>
          <w:p>
            <w:pPr>
              <w:rPr>
                <w:sz w:val="21"/>
              </w:rPr>
            </w:pPr>
          </w:p>
        </w:tc>
      </w:tr>
    </w:tbl>
    <w:p>
      <w:pPr>
        <w:rPr>
          <w:rFonts w:ascii="黑体" w:eastAsia="黑体"/>
          <w:szCs w:val="20"/>
        </w:rPr>
      </w:pPr>
      <w:r>
        <w:rPr>
          <w:rFonts w:hint="eastAsia" w:eastAsia="黑体"/>
        </w:rPr>
        <w:t>七、</w:t>
      </w:r>
      <w:r>
        <w:rPr>
          <w:rFonts w:hint="eastAsia" w:ascii="黑体" w:eastAsia="黑体"/>
        </w:rPr>
        <w:t>学校意见</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2" w:hRule="atLeast"/>
          <w:jc w:val="center"/>
        </w:trPr>
        <w:tc>
          <w:tcPr>
            <w:tcW w:w="8955" w:type="dxa"/>
            <w:tcBorders>
              <w:top w:val="single" w:color="auto" w:sz="4" w:space="0"/>
              <w:left w:val="single" w:color="auto" w:sz="4" w:space="0"/>
              <w:bottom w:val="single" w:color="auto" w:sz="4" w:space="0"/>
              <w:right w:val="single" w:color="auto" w:sz="4" w:space="0"/>
            </w:tcBorders>
            <w:vAlign w:val="center"/>
          </w:tcPr>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r>
              <w:rPr>
                <w:sz w:val="24"/>
              </w:rPr>
              <w:t xml:space="preserve">                                  </w:t>
            </w:r>
            <w:r>
              <w:rPr>
                <w:rFonts w:hint="eastAsia"/>
                <w:sz w:val="24"/>
              </w:rPr>
              <w:t>校长签名：</w:t>
            </w:r>
          </w:p>
          <w:p>
            <w:pPr>
              <w:rPr>
                <w:sz w:val="24"/>
              </w:rPr>
            </w:pPr>
            <w:r>
              <w:rPr>
                <w:sz w:val="24"/>
              </w:rPr>
              <w:t xml:space="preserve">         </w:t>
            </w:r>
            <w:r>
              <w:rPr>
                <w:rFonts w:hint="eastAsia"/>
                <w:sz w:val="24"/>
              </w:rPr>
              <w:t>　　　　　　　　　　</w:t>
            </w:r>
            <w:r>
              <w:rPr>
                <w:sz w:val="24"/>
              </w:rPr>
              <w:t xml:space="preserve">    </w:t>
            </w:r>
            <w:r>
              <w:rPr>
                <w:rFonts w:hint="eastAsia"/>
                <w:sz w:val="24"/>
              </w:rPr>
              <w:t xml:space="preserve"> 公　　章</w:t>
            </w:r>
          </w:p>
          <w:p>
            <w:pPr>
              <w:rPr>
                <w:sz w:val="24"/>
              </w:rPr>
            </w:pPr>
            <w:r>
              <w:rPr>
                <w:sz w:val="24"/>
              </w:rPr>
              <w:t xml:space="preserve">                                                      </w:t>
            </w:r>
            <w:r>
              <w:rPr>
                <w:rFonts w:hint="eastAsia"/>
                <w:sz w:val="24"/>
              </w:rPr>
              <w:t>年</w:t>
            </w:r>
            <w:r>
              <w:rPr>
                <w:sz w:val="24"/>
              </w:rPr>
              <w:t xml:space="preserve">   </w:t>
            </w:r>
            <w:r>
              <w:rPr>
                <w:rFonts w:hint="eastAsia"/>
                <w:sz w:val="24"/>
              </w:rPr>
              <w:t>月</w:t>
            </w:r>
            <w:r>
              <w:rPr>
                <w:sz w:val="24"/>
              </w:rPr>
              <w:t xml:space="preserve">   </w:t>
            </w:r>
            <w:r>
              <w:rPr>
                <w:rFonts w:hint="eastAsia"/>
                <w:sz w:val="24"/>
              </w:rPr>
              <w:t>日</w:t>
            </w:r>
          </w:p>
        </w:tc>
      </w:tr>
    </w:tbl>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00" w:usb3="00000000" w:csb0="00040000" w:csb1="00000000"/>
  </w:font>
  <w:font w:name="方正小标宋简体">
    <w:altName w:val="微软雅黑"/>
    <w:panose1 w:val="00000000000000000000"/>
    <w:charset w:val="86"/>
    <w:family w:val="script"/>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E64D95"/>
    <w:multiLevelType w:val="multilevel"/>
    <w:tmpl w:val="3EE64D95"/>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41E81FA3"/>
    <w:multiLevelType w:val="multilevel"/>
    <w:tmpl w:val="41E81FA3"/>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577D4B5A"/>
    <w:multiLevelType w:val="singleLevel"/>
    <w:tmpl w:val="577D4B5A"/>
    <w:lvl w:ilvl="0" w:tentative="0">
      <w:start w:val="1"/>
      <w:numFmt w:val="decimal"/>
      <w:lvlText w:val="%1)"/>
      <w:lvlJc w:val="left"/>
      <w:pPr>
        <w:tabs>
          <w:tab w:val="left" w:pos="425"/>
        </w:tabs>
        <w:ind w:left="425" w:hanging="425"/>
      </w:pPr>
      <w:rPr>
        <w:rFonts w:hint="default"/>
      </w:rPr>
    </w:lvl>
  </w:abstractNum>
  <w:abstractNum w:abstractNumId="3">
    <w:nsid w:val="699F3383"/>
    <w:multiLevelType w:val="multilevel"/>
    <w:tmpl w:val="699F3383"/>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79E5117E"/>
    <w:multiLevelType w:val="multilevel"/>
    <w:tmpl w:val="79E5117E"/>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F72600"/>
    <w:rsid w:val="000026AA"/>
    <w:rsid w:val="000050A6"/>
    <w:rsid w:val="00005DD7"/>
    <w:rsid w:val="0001247B"/>
    <w:rsid w:val="00016F5A"/>
    <w:rsid w:val="00016FDA"/>
    <w:rsid w:val="00020D79"/>
    <w:rsid w:val="00031199"/>
    <w:rsid w:val="00033077"/>
    <w:rsid w:val="00034045"/>
    <w:rsid w:val="000375D7"/>
    <w:rsid w:val="00043DB9"/>
    <w:rsid w:val="00044B65"/>
    <w:rsid w:val="00045E4D"/>
    <w:rsid w:val="00053FB8"/>
    <w:rsid w:val="0005515D"/>
    <w:rsid w:val="00067C9F"/>
    <w:rsid w:val="000729EF"/>
    <w:rsid w:val="0007692A"/>
    <w:rsid w:val="0008123A"/>
    <w:rsid w:val="00087FF1"/>
    <w:rsid w:val="00092351"/>
    <w:rsid w:val="000972A7"/>
    <w:rsid w:val="000A345D"/>
    <w:rsid w:val="000A3C7B"/>
    <w:rsid w:val="000A46BA"/>
    <w:rsid w:val="000A4FAB"/>
    <w:rsid w:val="000A7055"/>
    <w:rsid w:val="000C0F38"/>
    <w:rsid w:val="000C67AE"/>
    <w:rsid w:val="000F54DA"/>
    <w:rsid w:val="0010400D"/>
    <w:rsid w:val="001077A1"/>
    <w:rsid w:val="001238A4"/>
    <w:rsid w:val="0012458C"/>
    <w:rsid w:val="001276C9"/>
    <w:rsid w:val="001357C7"/>
    <w:rsid w:val="00140F86"/>
    <w:rsid w:val="00141469"/>
    <w:rsid w:val="0014289B"/>
    <w:rsid w:val="0014353D"/>
    <w:rsid w:val="00145A41"/>
    <w:rsid w:val="001551D9"/>
    <w:rsid w:val="00155FC0"/>
    <w:rsid w:val="00160EBB"/>
    <w:rsid w:val="0016359B"/>
    <w:rsid w:val="0016392C"/>
    <w:rsid w:val="00167696"/>
    <w:rsid w:val="0016782D"/>
    <w:rsid w:val="001718FF"/>
    <w:rsid w:val="00180D77"/>
    <w:rsid w:val="00181BEC"/>
    <w:rsid w:val="00182F3E"/>
    <w:rsid w:val="00183C99"/>
    <w:rsid w:val="0018665E"/>
    <w:rsid w:val="0018729F"/>
    <w:rsid w:val="001924F0"/>
    <w:rsid w:val="001953D6"/>
    <w:rsid w:val="001954AB"/>
    <w:rsid w:val="001A47D3"/>
    <w:rsid w:val="001A5896"/>
    <w:rsid w:val="001A6D31"/>
    <w:rsid w:val="001B1B25"/>
    <w:rsid w:val="001B4138"/>
    <w:rsid w:val="001B479B"/>
    <w:rsid w:val="001C26C4"/>
    <w:rsid w:val="001C2861"/>
    <w:rsid w:val="001C3EDA"/>
    <w:rsid w:val="001D0D93"/>
    <w:rsid w:val="001D3B49"/>
    <w:rsid w:val="001D4FA3"/>
    <w:rsid w:val="001E3F13"/>
    <w:rsid w:val="001E50CC"/>
    <w:rsid w:val="001F2747"/>
    <w:rsid w:val="001F7CA0"/>
    <w:rsid w:val="0021436D"/>
    <w:rsid w:val="0021688E"/>
    <w:rsid w:val="002201CC"/>
    <w:rsid w:val="0022195C"/>
    <w:rsid w:val="00223B19"/>
    <w:rsid w:val="00226DDD"/>
    <w:rsid w:val="00251766"/>
    <w:rsid w:val="00255156"/>
    <w:rsid w:val="00257A95"/>
    <w:rsid w:val="00257F07"/>
    <w:rsid w:val="00260E13"/>
    <w:rsid w:val="002627B1"/>
    <w:rsid w:val="0026303E"/>
    <w:rsid w:val="00265EF7"/>
    <w:rsid w:val="0026792B"/>
    <w:rsid w:val="00276AD0"/>
    <w:rsid w:val="00276FBC"/>
    <w:rsid w:val="00280B59"/>
    <w:rsid w:val="00280CA6"/>
    <w:rsid w:val="00295214"/>
    <w:rsid w:val="0029554E"/>
    <w:rsid w:val="002A7319"/>
    <w:rsid w:val="002C124E"/>
    <w:rsid w:val="002C2D64"/>
    <w:rsid w:val="002C43C2"/>
    <w:rsid w:val="002D4144"/>
    <w:rsid w:val="002E01C1"/>
    <w:rsid w:val="002E105B"/>
    <w:rsid w:val="00304965"/>
    <w:rsid w:val="00307591"/>
    <w:rsid w:val="00315305"/>
    <w:rsid w:val="0031713B"/>
    <w:rsid w:val="00317538"/>
    <w:rsid w:val="00323EE0"/>
    <w:rsid w:val="003247AB"/>
    <w:rsid w:val="003258ED"/>
    <w:rsid w:val="00330B2D"/>
    <w:rsid w:val="0033135F"/>
    <w:rsid w:val="00332BF8"/>
    <w:rsid w:val="003362F8"/>
    <w:rsid w:val="0034269A"/>
    <w:rsid w:val="00345AEA"/>
    <w:rsid w:val="0035430D"/>
    <w:rsid w:val="00363C70"/>
    <w:rsid w:val="00367C8A"/>
    <w:rsid w:val="00371290"/>
    <w:rsid w:val="003717B3"/>
    <w:rsid w:val="00371F40"/>
    <w:rsid w:val="00375881"/>
    <w:rsid w:val="0038138D"/>
    <w:rsid w:val="0038467F"/>
    <w:rsid w:val="00392B83"/>
    <w:rsid w:val="00394505"/>
    <w:rsid w:val="0039574A"/>
    <w:rsid w:val="00396272"/>
    <w:rsid w:val="003A721D"/>
    <w:rsid w:val="003A75A1"/>
    <w:rsid w:val="003B4DB8"/>
    <w:rsid w:val="003B556A"/>
    <w:rsid w:val="003B5E29"/>
    <w:rsid w:val="003C0D8A"/>
    <w:rsid w:val="003C2A72"/>
    <w:rsid w:val="003C32DA"/>
    <w:rsid w:val="003C3621"/>
    <w:rsid w:val="003D5570"/>
    <w:rsid w:val="003D58C0"/>
    <w:rsid w:val="003E1908"/>
    <w:rsid w:val="003E1CE1"/>
    <w:rsid w:val="003E50DA"/>
    <w:rsid w:val="003E53E9"/>
    <w:rsid w:val="003E6218"/>
    <w:rsid w:val="003E7E1D"/>
    <w:rsid w:val="003F2791"/>
    <w:rsid w:val="003F3196"/>
    <w:rsid w:val="00403AEF"/>
    <w:rsid w:val="0041152F"/>
    <w:rsid w:val="004155BB"/>
    <w:rsid w:val="00416874"/>
    <w:rsid w:val="00421A3D"/>
    <w:rsid w:val="00422D02"/>
    <w:rsid w:val="00434835"/>
    <w:rsid w:val="00441E8C"/>
    <w:rsid w:val="00442C96"/>
    <w:rsid w:val="004454CD"/>
    <w:rsid w:val="00445911"/>
    <w:rsid w:val="00452D4D"/>
    <w:rsid w:val="0045633D"/>
    <w:rsid w:val="004612F4"/>
    <w:rsid w:val="00462FB2"/>
    <w:rsid w:val="00463CE1"/>
    <w:rsid w:val="00470493"/>
    <w:rsid w:val="00471653"/>
    <w:rsid w:val="00473D8A"/>
    <w:rsid w:val="0048004E"/>
    <w:rsid w:val="0048180B"/>
    <w:rsid w:val="00485316"/>
    <w:rsid w:val="00486902"/>
    <w:rsid w:val="004921B5"/>
    <w:rsid w:val="004A7661"/>
    <w:rsid w:val="004A790D"/>
    <w:rsid w:val="004B0B9C"/>
    <w:rsid w:val="004B4615"/>
    <w:rsid w:val="004B6AF5"/>
    <w:rsid w:val="004C40A9"/>
    <w:rsid w:val="004C481C"/>
    <w:rsid w:val="004C5511"/>
    <w:rsid w:val="004C6AD4"/>
    <w:rsid w:val="004D1C75"/>
    <w:rsid w:val="004D233F"/>
    <w:rsid w:val="004D53E8"/>
    <w:rsid w:val="004D6ADD"/>
    <w:rsid w:val="004D7D2A"/>
    <w:rsid w:val="004D7D9D"/>
    <w:rsid w:val="004E5B88"/>
    <w:rsid w:val="004F43A5"/>
    <w:rsid w:val="004F4BC0"/>
    <w:rsid w:val="004F5431"/>
    <w:rsid w:val="004F568C"/>
    <w:rsid w:val="005000D8"/>
    <w:rsid w:val="00502A27"/>
    <w:rsid w:val="00502B37"/>
    <w:rsid w:val="0050363F"/>
    <w:rsid w:val="00507E3E"/>
    <w:rsid w:val="00512ACB"/>
    <w:rsid w:val="00512B7E"/>
    <w:rsid w:val="00512D73"/>
    <w:rsid w:val="00514B9A"/>
    <w:rsid w:val="00517AB5"/>
    <w:rsid w:val="00533202"/>
    <w:rsid w:val="005336F1"/>
    <w:rsid w:val="00546B0D"/>
    <w:rsid w:val="005477B7"/>
    <w:rsid w:val="005528FC"/>
    <w:rsid w:val="00552BA3"/>
    <w:rsid w:val="005567B8"/>
    <w:rsid w:val="00560786"/>
    <w:rsid w:val="00560F06"/>
    <w:rsid w:val="00562355"/>
    <w:rsid w:val="00564175"/>
    <w:rsid w:val="00573A15"/>
    <w:rsid w:val="00581F50"/>
    <w:rsid w:val="005825B0"/>
    <w:rsid w:val="005904DE"/>
    <w:rsid w:val="00593C28"/>
    <w:rsid w:val="005A791A"/>
    <w:rsid w:val="005B0147"/>
    <w:rsid w:val="005B1A17"/>
    <w:rsid w:val="005B7969"/>
    <w:rsid w:val="005C098A"/>
    <w:rsid w:val="005C0D7A"/>
    <w:rsid w:val="005C10B7"/>
    <w:rsid w:val="005C3DF5"/>
    <w:rsid w:val="005C5076"/>
    <w:rsid w:val="005D1893"/>
    <w:rsid w:val="005E00CF"/>
    <w:rsid w:val="005F3F9B"/>
    <w:rsid w:val="005F72F3"/>
    <w:rsid w:val="0060039D"/>
    <w:rsid w:val="006042AC"/>
    <w:rsid w:val="00607F7F"/>
    <w:rsid w:val="00610796"/>
    <w:rsid w:val="00611382"/>
    <w:rsid w:val="00615456"/>
    <w:rsid w:val="0061664D"/>
    <w:rsid w:val="006208E4"/>
    <w:rsid w:val="00621ACC"/>
    <w:rsid w:val="00621B6A"/>
    <w:rsid w:val="0062502B"/>
    <w:rsid w:val="006270D3"/>
    <w:rsid w:val="00630F18"/>
    <w:rsid w:val="00635370"/>
    <w:rsid w:val="00635C8D"/>
    <w:rsid w:val="006426B3"/>
    <w:rsid w:val="00646CE6"/>
    <w:rsid w:val="0065157A"/>
    <w:rsid w:val="006532D3"/>
    <w:rsid w:val="006557DE"/>
    <w:rsid w:val="00660748"/>
    <w:rsid w:val="0066255F"/>
    <w:rsid w:val="006651FB"/>
    <w:rsid w:val="00665F24"/>
    <w:rsid w:val="006675A0"/>
    <w:rsid w:val="00673907"/>
    <w:rsid w:val="006824EB"/>
    <w:rsid w:val="00686B7A"/>
    <w:rsid w:val="006959D8"/>
    <w:rsid w:val="0069607B"/>
    <w:rsid w:val="006A22A0"/>
    <w:rsid w:val="006A2A27"/>
    <w:rsid w:val="006A3331"/>
    <w:rsid w:val="006A63FB"/>
    <w:rsid w:val="006A6ACB"/>
    <w:rsid w:val="006B3A15"/>
    <w:rsid w:val="006C140B"/>
    <w:rsid w:val="006C4F0D"/>
    <w:rsid w:val="006E03C8"/>
    <w:rsid w:val="006E065B"/>
    <w:rsid w:val="006E3B1D"/>
    <w:rsid w:val="006E5A7D"/>
    <w:rsid w:val="006F50D6"/>
    <w:rsid w:val="006F5FCA"/>
    <w:rsid w:val="006F64C5"/>
    <w:rsid w:val="006F7258"/>
    <w:rsid w:val="00714326"/>
    <w:rsid w:val="0071494C"/>
    <w:rsid w:val="0072701C"/>
    <w:rsid w:val="0073303E"/>
    <w:rsid w:val="00733238"/>
    <w:rsid w:val="00736031"/>
    <w:rsid w:val="00736B32"/>
    <w:rsid w:val="00737416"/>
    <w:rsid w:val="0074307D"/>
    <w:rsid w:val="007469DD"/>
    <w:rsid w:val="00747209"/>
    <w:rsid w:val="00751536"/>
    <w:rsid w:val="007534E0"/>
    <w:rsid w:val="00761CB6"/>
    <w:rsid w:val="00773674"/>
    <w:rsid w:val="0077385D"/>
    <w:rsid w:val="00774197"/>
    <w:rsid w:val="00775072"/>
    <w:rsid w:val="00782888"/>
    <w:rsid w:val="007841CA"/>
    <w:rsid w:val="00787391"/>
    <w:rsid w:val="00787B14"/>
    <w:rsid w:val="0079439B"/>
    <w:rsid w:val="007963EF"/>
    <w:rsid w:val="0079735C"/>
    <w:rsid w:val="007A29DD"/>
    <w:rsid w:val="007A4D61"/>
    <w:rsid w:val="007B0797"/>
    <w:rsid w:val="007B12DE"/>
    <w:rsid w:val="007B2074"/>
    <w:rsid w:val="007C7A4F"/>
    <w:rsid w:val="007D238F"/>
    <w:rsid w:val="007D710A"/>
    <w:rsid w:val="007F0AE7"/>
    <w:rsid w:val="007F0F86"/>
    <w:rsid w:val="007F285C"/>
    <w:rsid w:val="007F5EB0"/>
    <w:rsid w:val="007F6A7E"/>
    <w:rsid w:val="00802292"/>
    <w:rsid w:val="008046A1"/>
    <w:rsid w:val="008130C5"/>
    <w:rsid w:val="00821B4E"/>
    <w:rsid w:val="00821BF1"/>
    <w:rsid w:val="00822403"/>
    <w:rsid w:val="0082740F"/>
    <w:rsid w:val="0083171F"/>
    <w:rsid w:val="00831B16"/>
    <w:rsid w:val="00835D2A"/>
    <w:rsid w:val="00836FFF"/>
    <w:rsid w:val="0083731E"/>
    <w:rsid w:val="00843749"/>
    <w:rsid w:val="00844012"/>
    <w:rsid w:val="00844CAF"/>
    <w:rsid w:val="0084709A"/>
    <w:rsid w:val="00850794"/>
    <w:rsid w:val="00851D5A"/>
    <w:rsid w:val="00852421"/>
    <w:rsid w:val="00853400"/>
    <w:rsid w:val="008618BB"/>
    <w:rsid w:val="008653C7"/>
    <w:rsid w:val="008712CB"/>
    <w:rsid w:val="00877D0B"/>
    <w:rsid w:val="0088190E"/>
    <w:rsid w:val="008939C3"/>
    <w:rsid w:val="008947F5"/>
    <w:rsid w:val="00894A52"/>
    <w:rsid w:val="00897C74"/>
    <w:rsid w:val="008B1760"/>
    <w:rsid w:val="008B1C7C"/>
    <w:rsid w:val="008B3AA2"/>
    <w:rsid w:val="008B40EB"/>
    <w:rsid w:val="008B622A"/>
    <w:rsid w:val="008C0D27"/>
    <w:rsid w:val="008C2CDA"/>
    <w:rsid w:val="008D0259"/>
    <w:rsid w:val="008D10EC"/>
    <w:rsid w:val="008D17F8"/>
    <w:rsid w:val="008D266F"/>
    <w:rsid w:val="008D3800"/>
    <w:rsid w:val="008E5B9C"/>
    <w:rsid w:val="008F3B8A"/>
    <w:rsid w:val="00901356"/>
    <w:rsid w:val="00902C57"/>
    <w:rsid w:val="00902EA5"/>
    <w:rsid w:val="0090367F"/>
    <w:rsid w:val="009213BE"/>
    <w:rsid w:val="009223F4"/>
    <w:rsid w:val="00922FC0"/>
    <w:rsid w:val="00924167"/>
    <w:rsid w:val="00927FB8"/>
    <w:rsid w:val="00930CFF"/>
    <w:rsid w:val="00933246"/>
    <w:rsid w:val="009347EE"/>
    <w:rsid w:val="0093494C"/>
    <w:rsid w:val="0094300D"/>
    <w:rsid w:val="00943BA9"/>
    <w:rsid w:val="009500A1"/>
    <w:rsid w:val="00954452"/>
    <w:rsid w:val="00960ABB"/>
    <w:rsid w:val="00961039"/>
    <w:rsid w:val="009627F1"/>
    <w:rsid w:val="009635D2"/>
    <w:rsid w:val="00963F1C"/>
    <w:rsid w:val="00973009"/>
    <w:rsid w:val="00973C75"/>
    <w:rsid w:val="00975026"/>
    <w:rsid w:val="00980E56"/>
    <w:rsid w:val="0098273C"/>
    <w:rsid w:val="00982798"/>
    <w:rsid w:val="00990840"/>
    <w:rsid w:val="00991B49"/>
    <w:rsid w:val="009932B5"/>
    <w:rsid w:val="009A0AD6"/>
    <w:rsid w:val="009A4FEE"/>
    <w:rsid w:val="009A66F1"/>
    <w:rsid w:val="009A78A8"/>
    <w:rsid w:val="009A7F7C"/>
    <w:rsid w:val="009B0494"/>
    <w:rsid w:val="009B327B"/>
    <w:rsid w:val="009B3579"/>
    <w:rsid w:val="009B5035"/>
    <w:rsid w:val="009B668C"/>
    <w:rsid w:val="009B7109"/>
    <w:rsid w:val="009C0422"/>
    <w:rsid w:val="009C675F"/>
    <w:rsid w:val="009C7B5D"/>
    <w:rsid w:val="009D14E8"/>
    <w:rsid w:val="009D4C68"/>
    <w:rsid w:val="009D4F4E"/>
    <w:rsid w:val="009D7117"/>
    <w:rsid w:val="009E0730"/>
    <w:rsid w:val="009F37A5"/>
    <w:rsid w:val="009F61F2"/>
    <w:rsid w:val="00A005DF"/>
    <w:rsid w:val="00A02E0F"/>
    <w:rsid w:val="00A10E37"/>
    <w:rsid w:val="00A12708"/>
    <w:rsid w:val="00A12DF8"/>
    <w:rsid w:val="00A15437"/>
    <w:rsid w:val="00A17978"/>
    <w:rsid w:val="00A17B1B"/>
    <w:rsid w:val="00A321BA"/>
    <w:rsid w:val="00A333D4"/>
    <w:rsid w:val="00A33AA0"/>
    <w:rsid w:val="00A53E1E"/>
    <w:rsid w:val="00A5449F"/>
    <w:rsid w:val="00A63D4D"/>
    <w:rsid w:val="00A7248D"/>
    <w:rsid w:val="00A74DA6"/>
    <w:rsid w:val="00A7610D"/>
    <w:rsid w:val="00A9004F"/>
    <w:rsid w:val="00AA1247"/>
    <w:rsid w:val="00AA56C9"/>
    <w:rsid w:val="00AB27B0"/>
    <w:rsid w:val="00AB2A7A"/>
    <w:rsid w:val="00AB3FF4"/>
    <w:rsid w:val="00AC0892"/>
    <w:rsid w:val="00AC2AE3"/>
    <w:rsid w:val="00AD77CF"/>
    <w:rsid w:val="00AE1F9F"/>
    <w:rsid w:val="00AE380D"/>
    <w:rsid w:val="00AE437E"/>
    <w:rsid w:val="00B00C7B"/>
    <w:rsid w:val="00B00D6C"/>
    <w:rsid w:val="00B02EB3"/>
    <w:rsid w:val="00B10537"/>
    <w:rsid w:val="00B11C79"/>
    <w:rsid w:val="00B164DD"/>
    <w:rsid w:val="00B24BFF"/>
    <w:rsid w:val="00B32B0E"/>
    <w:rsid w:val="00B344B5"/>
    <w:rsid w:val="00B352F5"/>
    <w:rsid w:val="00B57260"/>
    <w:rsid w:val="00B6290F"/>
    <w:rsid w:val="00B808B7"/>
    <w:rsid w:val="00B81E7B"/>
    <w:rsid w:val="00B86014"/>
    <w:rsid w:val="00B93DD3"/>
    <w:rsid w:val="00B94EAA"/>
    <w:rsid w:val="00B9796C"/>
    <w:rsid w:val="00BB4532"/>
    <w:rsid w:val="00BC3BD4"/>
    <w:rsid w:val="00BC532D"/>
    <w:rsid w:val="00BD0E73"/>
    <w:rsid w:val="00BD5AF6"/>
    <w:rsid w:val="00BE6184"/>
    <w:rsid w:val="00BF5AAC"/>
    <w:rsid w:val="00BF72A3"/>
    <w:rsid w:val="00C026A3"/>
    <w:rsid w:val="00C02A3B"/>
    <w:rsid w:val="00C053C8"/>
    <w:rsid w:val="00C12EB9"/>
    <w:rsid w:val="00C130D9"/>
    <w:rsid w:val="00C16227"/>
    <w:rsid w:val="00C22347"/>
    <w:rsid w:val="00C23250"/>
    <w:rsid w:val="00C36D76"/>
    <w:rsid w:val="00C37E29"/>
    <w:rsid w:val="00C4286F"/>
    <w:rsid w:val="00C43E98"/>
    <w:rsid w:val="00C4481A"/>
    <w:rsid w:val="00C47EDA"/>
    <w:rsid w:val="00C53FC6"/>
    <w:rsid w:val="00C64431"/>
    <w:rsid w:val="00C6460B"/>
    <w:rsid w:val="00C77CEC"/>
    <w:rsid w:val="00C81DDE"/>
    <w:rsid w:val="00C87288"/>
    <w:rsid w:val="00C87B46"/>
    <w:rsid w:val="00C92252"/>
    <w:rsid w:val="00C9294F"/>
    <w:rsid w:val="00C93DCA"/>
    <w:rsid w:val="00C9779E"/>
    <w:rsid w:val="00CA1ABF"/>
    <w:rsid w:val="00CA3AB4"/>
    <w:rsid w:val="00CB00B7"/>
    <w:rsid w:val="00CB1608"/>
    <w:rsid w:val="00CB1BCF"/>
    <w:rsid w:val="00CC3998"/>
    <w:rsid w:val="00CD0863"/>
    <w:rsid w:val="00CD327F"/>
    <w:rsid w:val="00CD548F"/>
    <w:rsid w:val="00CE3011"/>
    <w:rsid w:val="00CE32C8"/>
    <w:rsid w:val="00CE489E"/>
    <w:rsid w:val="00CF3317"/>
    <w:rsid w:val="00CF44C6"/>
    <w:rsid w:val="00CF6C26"/>
    <w:rsid w:val="00D029AA"/>
    <w:rsid w:val="00D07CB6"/>
    <w:rsid w:val="00D142AE"/>
    <w:rsid w:val="00D16B48"/>
    <w:rsid w:val="00D20B49"/>
    <w:rsid w:val="00D23813"/>
    <w:rsid w:val="00D30DEB"/>
    <w:rsid w:val="00D31128"/>
    <w:rsid w:val="00D3703F"/>
    <w:rsid w:val="00D37A06"/>
    <w:rsid w:val="00D50E65"/>
    <w:rsid w:val="00D57682"/>
    <w:rsid w:val="00D64A95"/>
    <w:rsid w:val="00D67CBB"/>
    <w:rsid w:val="00D728EB"/>
    <w:rsid w:val="00D75E54"/>
    <w:rsid w:val="00D801A4"/>
    <w:rsid w:val="00D81E00"/>
    <w:rsid w:val="00D83B7B"/>
    <w:rsid w:val="00D85001"/>
    <w:rsid w:val="00D86620"/>
    <w:rsid w:val="00D90E6B"/>
    <w:rsid w:val="00D917B9"/>
    <w:rsid w:val="00D926FD"/>
    <w:rsid w:val="00D95128"/>
    <w:rsid w:val="00D9769E"/>
    <w:rsid w:val="00DA2B9D"/>
    <w:rsid w:val="00DA593B"/>
    <w:rsid w:val="00DA5AEC"/>
    <w:rsid w:val="00DA5E05"/>
    <w:rsid w:val="00DB292A"/>
    <w:rsid w:val="00DB4B08"/>
    <w:rsid w:val="00DC1FDE"/>
    <w:rsid w:val="00DC4874"/>
    <w:rsid w:val="00DC6EB8"/>
    <w:rsid w:val="00DC735D"/>
    <w:rsid w:val="00DD1182"/>
    <w:rsid w:val="00DD2AEA"/>
    <w:rsid w:val="00DD7501"/>
    <w:rsid w:val="00DE2744"/>
    <w:rsid w:val="00DE5179"/>
    <w:rsid w:val="00DF65CD"/>
    <w:rsid w:val="00DF7950"/>
    <w:rsid w:val="00E030BE"/>
    <w:rsid w:val="00E053C5"/>
    <w:rsid w:val="00E06D20"/>
    <w:rsid w:val="00E14255"/>
    <w:rsid w:val="00E2414F"/>
    <w:rsid w:val="00E354DF"/>
    <w:rsid w:val="00E374F9"/>
    <w:rsid w:val="00E54271"/>
    <w:rsid w:val="00E55434"/>
    <w:rsid w:val="00E56FEA"/>
    <w:rsid w:val="00E5762B"/>
    <w:rsid w:val="00E57B8E"/>
    <w:rsid w:val="00E6253C"/>
    <w:rsid w:val="00E626B5"/>
    <w:rsid w:val="00E64865"/>
    <w:rsid w:val="00E71F85"/>
    <w:rsid w:val="00E97AEE"/>
    <w:rsid w:val="00EA56A5"/>
    <w:rsid w:val="00EA5B96"/>
    <w:rsid w:val="00EB4B8F"/>
    <w:rsid w:val="00EB5FDE"/>
    <w:rsid w:val="00EC1A30"/>
    <w:rsid w:val="00EC22C2"/>
    <w:rsid w:val="00EC7B4C"/>
    <w:rsid w:val="00ED2E9D"/>
    <w:rsid w:val="00ED3F3B"/>
    <w:rsid w:val="00ED58B1"/>
    <w:rsid w:val="00ED7740"/>
    <w:rsid w:val="00EE20D7"/>
    <w:rsid w:val="00EE42D1"/>
    <w:rsid w:val="00EE5FE6"/>
    <w:rsid w:val="00EF1CDE"/>
    <w:rsid w:val="00EF3185"/>
    <w:rsid w:val="00EF422B"/>
    <w:rsid w:val="00EF4472"/>
    <w:rsid w:val="00EF4DAC"/>
    <w:rsid w:val="00EF6B81"/>
    <w:rsid w:val="00F10FD4"/>
    <w:rsid w:val="00F11E75"/>
    <w:rsid w:val="00F12193"/>
    <w:rsid w:val="00F16F99"/>
    <w:rsid w:val="00F21718"/>
    <w:rsid w:val="00F250DF"/>
    <w:rsid w:val="00F2677D"/>
    <w:rsid w:val="00F26F91"/>
    <w:rsid w:val="00F27424"/>
    <w:rsid w:val="00F27CF3"/>
    <w:rsid w:val="00F43E57"/>
    <w:rsid w:val="00F46E4C"/>
    <w:rsid w:val="00F4785C"/>
    <w:rsid w:val="00F50AD0"/>
    <w:rsid w:val="00F6194F"/>
    <w:rsid w:val="00F62C0E"/>
    <w:rsid w:val="00F6537A"/>
    <w:rsid w:val="00F667A2"/>
    <w:rsid w:val="00F67C22"/>
    <w:rsid w:val="00F70031"/>
    <w:rsid w:val="00F7133B"/>
    <w:rsid w:val="00F72600"/>
    <w:rsid w:val="00F72C34"/>
    <w:rsid w:val="00F74F0F"/>
    <w:rsid w:val="00F765E3"/>
    <w:rsid w:val="00F8085B"/>
    <w:rsid w:val="00F821B1"/>
    <w:rsid w:val="00F93297"/>
    <w:rsid w:val="00FA0E17"/>
    <w:rsid w:val="00FA3C84"/>
    <w:rsid w:val="00FB0A29"/>
    <w:rsid w:val="00FB0A5F"/>
    <w:rsid w:val="00FB2881"/>
    <w:rsid w:val="00FB6BF5"/>
    <w:rsid w:val="00FB764D"/>
    <w:rsid w:val="00FC2DA2"/>
    <w:rsid w:val="00FC677F"/>
    <w:rsid w:val="00FC71C7"/>
    <w:rsid w:val="00FD01B2"/>
    <w:rsid w:val="00FD1679"/>
    <w:rsid w:val="00FD489B"/>
    <w:rsid w:val="00FE29B5"/>
    <w:rsid w:val="00FE5DAF"/>
    <w:rsid w:val="00FE6A16"/>
    <w:rsid w:val="00FF2070"/>
    <w:rsid w:val="00FF3779"/>
    <w:rsid w:val="00FF4271"/>
    <w:rsid w:val="5A3640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仿宋_GB2312" w:cs="Times New Roman"/>
      <w:kern w:val="2"/>
      <w:sz w:val="30"/>
      <w:szCs w:val="30"/>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10"/>
    <w:semiHidden/>
    <w:unhideWhenUsed/>
    <w:qFormat/>
    <w:uiPriority w:val="99"/>
    <w:rPr>
      <w:sz w:val="18"/>
      <w:szCs w:val="18"/>
    </w:rPr>
  </w:style>
  <w:style w:type="paragraph" w:styleId="3">
    <w:name w:val="footer"/>
    <w:basedOn w:val="1"/>
    <w:link w:val="9"/>
    <w:unhideWhenUsed/>
    <w:qFormat/>
    <w:uiPriority w:val="99"/>
    <w:pPr>
      <w:tabs>
        <w:tab w:val="center" w:pos="4153"/>
        <w:tab w:val="right" w:pos="8306"/>
      </w:tabs>
      <w:snapToGrid w:val="0"/>
      <w:jc w:val="left"/>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List Paragraph"/>
    <w:basedOn w:val="1"/>
    <w:qFormat/>
    <w:uiPriority w:val="34"/>
    <w:pPr>
      <w:ind w:firstLine="420" w:firstLineChars="200"/>
    </w:pPr>
  </w:style>
  <w:style w:type="character" w:customStyle="1" w:styleId="8">
    <w:name w:val="页眉 字符"/>
    <w:basedOn w:val="6"/>
    <w:link w:val="4"/>
    <w:qFormat/>
    <w:uiPriority w:val="99"/>
    <w:rPr>
      <w:rFonts w:ascii="Calibri" w:hAnsi="Calibri" w:eastAsia="仿宋_GB2312" w:cs="Times New Roman"/>
      <w:sz w:val="18"/>
      <w:szCs w:val="18"/>
    </w:rPr>
  </w:style>
  <w:style w:type="character" w:customStyle="1" w:styleId="9">
    <w:name w:val="页脚 字符"/>
    <w:basedOn w:val="6"/>
    <w:link w:val="3"/>
    <w:uiPriority w:val="99"/>
    <w:rPr>
      <w:rFonts w:ascii="Calibri" w:hAnsi="Calibri" w:eastAsia="仿宋_GB2312" w:cs="Times New Roman"/>
      <w:sz w:val="18"/>
      <w:szCs w:val="18"/>
    </w:rPr>
  </w:style>
  <w:style w:type="character" w:customStyle="1" w:styleId="10">
    <w:name w:val="批注框文本 字符"/>
    <w:basedOn w:val="6"/>
    <w:link w:val="2"/>
    <w:semiHidden/>
    <w:qFormat/>
    <w:uiPriority w:val="99"/>
    <w:rPr>
      <w:rFonts w:ascii="Calibri" w:hAnsi="Calibri" w:eastAsia="仿宋_GB2312"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25.jpe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wmf"/><Relationship Id="rId30" Type="http://schemas.openxmlformats.org/officeDocument/2006/relationships/oleObject" Target="embeddings/oleObject8.bin"/><Relationship Id="rId3" Type="http://schemas.openxmlformats.org/officeDocument/2006/relationships/theme" Target="theme/theme1.xml"/><Relationship Id="rId29" Type="http://schemas.openxmlformats.org/officeDocument/2006/relationships/image" Target="media/image19.png"/><Relationship Id="rId28" Type="http://schemas.openxmlformats.org/officeDocument/2006/relationships/image" Target="media/image18.emf"/><Relationship Id="rId27" Type="http://schemas.openxmlformats.org/officeDocument/2006/relationships/oleObject" Target="embeddings/oleObject7.bin"/><Relationship Id="rId26" Type="http://schemas.openxmlformats.org/officeDocument/2006/relationships/image" Target="media/image17.emf"/><Relationship Id="rId25" Type="http://schemas.openxmlformats.org/officeDocument/2006/relationships/oleObject" Target="embeddings/oleObject6.bin"/><Relationship Id="rId24" Type="http://schemas.openxmlformats.org/officeDocument/2006/relationships/image" Target="media/image16.wmf"/><Relationship Id="rId23" Type="http://schemas.openxmlformats.org/officeDocument/2006/relationships/oleObject" Target="embeddings/oleObject5.bin"/><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oleObject" Target="embeddings/oleObject4.bin"/><Relationship Id="rId17" Type="http://schemas.openxmlformats.org/officeDocument/2006/relationships/image" Target="media/image11.wmf"/><Relationship Id="rId16" Type="http://schemas.openxmlformats.org/officeDocument/2006/relationships/oleObject" Target="embeddings/oleObject3.bin"/><Relationship Id="rId15" Type="http://schemas.openxmlformats.org/officeDocument/2006/relationships/image" Target="media/image10.wmf"/><Relationship Id="rId14" Type="http://schemas.openxmlformats.org/officeDocument/2006/relationships/oleObject" Target="embeddings/oleObject2.bin"/><Relationship Id="rId13" Type="http://schemas.openxmlformats.org/officeDocument/2006/relationships/image" Target="media/image9.png"/><Relationship Id="rId12" Type="http://schemas.openxmlformats.org/officeDocument/2006/relationships/image" Target="media/image8.wmf"/><Relationship Id="rId11" Type="http://schemas.openxmlformats.org/officeDocument/2006/relationships/oleObject" Target="embeddings/oleObject1.bin"/><Relationship Id="rId10" Type="http://schemas.openxmlformats.org/officeDocument/2006/relationships/image" Target="media/image7.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22</Pages>
  <Words>1986</Words>
  <Characters>11323</Characters>
  <Lines>94</Lines>
  <Paragraphs>26</Paragraphs>
  <TotalTime>1240</TotalTime>
  <ScaleCrop>false</ScaleCrop>
  <LinksUpToDate>false</LinksUpToDate>
  <CharactersWithSpaces>13283</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2020-11-25T08:16:00Z</dcterms:created>
  <dc:creator>xtzj</dc:creator>
  <cp:lastModifiedBy>hp</cp:lastModifiedBy>
  <dcterms:modified xsi:type="dcterms:W3CDTF">2020-11-30T00:22:27Z</dcterms:modified>
  <cp:revision>3781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